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52A09" w14:textId="77777777" w:rsidR="006C61A5" w:rsidRPr="0018591A" w:rsidRDefault="006C61A5" w:rsidP="007B3BF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BA71BC" w14:textId="77777777" w:rsidR="006C61A5" w:rsidRDefault="00DB532C" w:rsidP="008237DC">
      <w:pPr>
        <w:pStyle w:val="Heading1"/>
        <w:spacing w:line="240" w:lineRule="auto"/>
        <w:ind w:left="432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 w14:anchorId="57A13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1pt;height:107.25pt">
            <v:imagedata r:id="rId8" o:title=""/>
            <o:lock v:ext="edit" ungrouping="t" rotation="t" cropping="t" verticies="t" text="t" grouping="t"/>
            <o:signatureline v:ext="edit" id="{E53237E9-3298-427B-B701-1454CAE3B75B}" provid="{00000000-0000-0000-0000-000000000000}" o:suggestedsigner="Кирил Гератлиев" o:suggestedsigner2="Изп. директор и Ръководител на УО" allowcomments="t" issignatureline="t"/>
          </v:shape>
        </w:pict>
      </w:r>
    </w:p>
    <w:p w14:paraId="01AA2AAB" w14:textId="77777777" w:rsidR="006C61A5" w:rsidRDefault="006C61A5" w:rsidP="007B3BF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338EDA" w14:textId="77777777" w:rsidR="00CF065C" w:rsidRPr="00CF065C" w:rsidRDefault="004678F4" w:rsidP="007B3BF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0A1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ВЪПРОСИ И ОТГОВОРИ ПО ПРОЦЕДУРА</w:t>
      </w:r>
      <w:r w:rsidR="00CF0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065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</w:t>
      </w:r>
    </w:p>
    <w:p w14:paraId="6CFC2BE4" w14:textId="77777777" w:rsidR="00D53B25" w:rsidRDefault="00CF065C" w:rsidP="00D53B25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ПРЕДОСТАВЯНЕ НА БЕЗВЪЗМЕЗДНА ФИНАНСОВА ПОМОЩ</w:t>
      </w:r>
    </w:p>
    <w:p w14:paraId="212CC862" w14:textId="77777777" w:rsidR="00CF065C" w:rsidRPr="00CF065C" w:rsidRDefault="00CF065C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ЧРЕЗ ПОДБОР НА ПРОЕКТНИ ПРЕДЛОЖЕНИЯ </w:t>
      </w:r>
    </w:p>
    <w:p w14:paraId="4E10297F" w14:textId="77777777" w:rsidR="004678F4" w:rsidRDefault="00CF065C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BG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05</w:t>
      </w: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M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2О</w:t>
      </w: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P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001-</w:t>
      </w:r>
      <w:r w:rsidR="00A37BB3" w:rsidRPr="00F50AC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3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.0</w:t>
      </w:r>
      <w:r w:rsidR="00A37BB3" w:rsidRPr="00F50AC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20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 „</w:t>
      </w:r>
      <w:r w:rsidR="00852B1D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ОГРАМОТЯВАНЕ НА ВЪЗРАСТНИ-2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“</w:t>
      </w:r>
    </w:p>
    <w:p w14:paraId="5D14DB6E" w14:textId="628CFBEC" w:rsidR="00626AA3" w:rsidRDefault="00626AA3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към </w:t>
      </w:r>
      <w:r w:rsidR="0046663D" w:rsidRPr="0046663D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0</w:t>
      </w:r>
      <w:r w:rsidR="0046663D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.02.2021 г.</w:t>
      </w:r>
    </w:p>
    <w:p w14:paraId="0432F331" w14:textId="77777777" w:rsidR="00F37280" w:rsidRPr="00CF4C44" w:rsidRDefault="00F37280" w:rsidP="007B3BF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1A84551" w14:textId="77777777" w:rsidR="002F1D11" w:rsidRPr="00F37280" w:rsidRDefault="004B74F2" w:rsidP="002F1D11">
      <w:pPr>
        <w:pStyle w:val="Heading2"/>
        <w:rPr>
          <w:caps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Въпрос 1</w:t>
      </w:r>
      <w:r w:rsidR="002B7A3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2B7A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от</w:t>
      </w:r>
      <w:r w:rsidR="009E20D6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852B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19</w:t>
      </w:r>
      <w:r w:rsidR="00F37280"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.</w:t>
      </w:r>
      <w:r w:rsidR="00852B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01</w:t>
      </w:r>
      <w:r w:rsidR="00F37280"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.202</w:t>
      </w:r>
      <w:r w:rsidR="00852B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1</w:t>
      </w:r>
      <w:r w:rsidR="00CF345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2B7A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г</w:t>
      </w:r>
      <w:r w:rsidR="00CF345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. </w:t>
      </w:r>
      <w:r w:rsidR="00CF3452" w:rsidRPr="00C0310F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(</w:t>
      </w:r>
      <w:r w:rsidR="00CF3452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постъпил чрез ИСУН 2020</w:t>
      </w:r>
      <w:r w:rsidR="00CF3452" w:rsidRPr="00C0310F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)</w:t>
      </w:r>
      <w:r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:</w:t>
      </w:r>
    </w:p>
    <w:p w14:paraId="1F77F5D7" w14:textId="77777777" w:rsidR="007B3BF6" w:rsidRPr="002F1D11" w:rsidRDefault="007B3BF6" w:rsidP="00F37280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F1D11">
        <w:rPr>
          <w:rFonts w:ascii="Times New Roman" w:hAnsi="Times New Roman" w:cs="Times New Roman"/>
          <w:sz w:val="24"/>
          <w:szCs w:val="24"/>
          <w:lang w:val="bg-BG"/>
        </w:rPr>
        <w:t xml:space="preserve">Здравейте, </w:t>
      </w:r>
    </w:p>
    <w:p w14:paraId="581F0289" w14:textId="77777777" w:rsidR="00F37280" w:rsidRDefault="00852B1D" w:rsidP="007B3BF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Допустимо ли е по процедурата да кандидатства ЮЛНЦ, регистрирано в обществена полза през 2009 г., пререгистрирано през 2020 г., но през последните две години не е изпълнявало икономическа дейност?</w:t>
      </w:r>
    </w:p>
    <w:p w14:paraId="38B11BE9" w14:textId="77777777" w:rsidR="00852B1D" w:rsidRDefault="00852B1D" w:rsidP="007B3BF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Благодаря!</w:t>
      </w:r>
    </w:p>
    <w:p w14:paraId="7D8880D3" w14:textId="77777777" w:rsidR="00084222" w:rsidRDefault="00084222" w:rsidP="009E4E03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</w:p>
    <w:p w14:paraId="78C30DEB" w14:textId="77777777" w:rsidR="00450CF9" w:rsidRPr="009E4E03" w:rsidRDefault="004B74F2" w:rsidP="009E4E03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6DF9E688" w14:textId="77777777" w:rsidR="00450CF9" w:rsidRPr="00B26D88" w:rsidRDefault="00450CF9" w:rsidP="00967AA7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целите на процедурата по смисъла на чл.107, §1 от </w:t>
      </w:r>
      <w:r w:rsidRPr="00450CF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Договора за функционирането на Европейския съюз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„</w:t>
      </w:r>
      <w:r w:rsidRPr="00097E8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</w:t>
      </w:r>
      <w:r w:rsidRPr="00450CF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Съгласно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т.16 от Условията за кандидатстване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„</w:t>
      </w:r>
      <w:r w:rsidR="00B26D88" w:rsidRPr="00B26D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Допустимите кандидати/партньори - юридически лица с нестопанска цел (ЮЛНЦ)</w:t>
      </w:r>
      <w:r w:rsidR="00B26D88" w:rsidRPr="00B26D8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по процедурата се считат за предприятия по смисъла на и за целите на чл.107, параграф 1 от Договора за функциониране на Европейския съюз (ДФЕС), независимо от правния им</w:t>
      </w:r>
      <w:r w:rsidR="00B26D88" w:rsidRP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26D88" w:rsidRPr="009E4E0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статут. Допустимите дейности за </w:t>
      </w:r>
      <w:r w:rsidR="00B26D88" w:rsidRPr="009E4E0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lastRenderedPageBreak/>
        <w:t>кандидати/партньори ЮЛНЦ са с икономически характер..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Съгласно Приложение 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Декларация за минимални и държавни помощи в т.5 се посочва отрасловата принадлежност на ЮЛНЦ според основната му дейност по КИД 2008. В Указания </w:t>
      </w:r>
      <w:r w:rsidR="00B26D88" w:rsidRP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попълване на Декларацията за минимални и държавни помощи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т.3 е дадено пояснение, че „..</w:t>
      </w:r>
      <w:r w:rsidR="00B26D88" w:rsidRPr="00B26D8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под основна дейност на получателя - ЮЛНЦ се има предвид дейността, която генерира най-голям дял от приходите му от нестопанската и стопанската дейност по КИД-2008 съгласно ГОД за последната приключила финансова година (по данни/класификация от НСИ)</w:t>
      </w:r>
      <w:r w:rsidR="00B26D8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“.</w:t>
      </w:r>
    </w:p>
    <w:p w14:paraId="270DDA7B" w14:textId="77777777" w:rsidR="00971B79" w:rsidRDefault="00450CF9" w:rsidP="00967AA7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случай че ЮЛНЦ през последните две години е изпълнявало дейности, независимо икономическ</w:t>
      </w:r>
      <w:r w:rsidR="00C942B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или неикономическ</w:t>
      </w:r>
      <w:r w:rsidR="00C942B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това следва да е видно от счетоводните документи за последните две приключили финансови години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които съгласно т.11 от Условията за кандидатстване, </w:t>
      </w:r>
      <w:r w:rsidR="00971B7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кандидатите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ЮЛНЦ</w:t>
      </w:r>
      <w:r w:rsidR="00971B7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представят на етап кандидатстване</w:t>
      </w:r>
      <w:r w:rsidR="00097E8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E30A5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="00971B7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ререгистрираните ЮЛНЦ в ТРРЮЛНЦ следва да са обявили в регистъра по реда на чл.40 от ЗЮЛНЦ исканите документи</w:t>
      </w:r>
      <w:r w:rsidR="00E30A5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 „</w:t>
      </w:r>
      <w:r w:rsidR="00E30A5E" w:rsidRPr="00E30A5E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В случай че исканите документи, заверени по реда на Закона за счетоводство, са публично достъпни, кандидатът посочва източниците им на информация (линк към източника, в който документът е наличен) за целите на оценката на финансовия капацитет. При липса на възможност за служебна проверка документите се представят от кандидата към проектното предложение. В случай, че исканите документи от кандидати – училища/ЮЛНЦ са налични в МОНИТОРСТАТ на Националния статистически институт, същите се проверяват по служебен път</w:t>
      </w:r>
      <w:r w:rsidR="00E30A5E" w:rsidRPr="00E30A5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E30A5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</w:t>
      </w:r>
    </w:p>
    <w:p w14:paraId="598369E3" w14:textId="77777777" w:rsidR="00CF3452" w:rsidRPr="0081288A" w:rsidRDefault="0081288A" w:rsidP="00967AA7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т.11 от Условията за кандидатстване е посочен</w:t>
      </w:r>
      <w:r w:rsidR="00B904E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 следното:</w:t>
      </w:r>
      <w:r w:rsidR="00F50AC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CF3452" w:rsidRPr="00892639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„В случай, че ЮЛНЦ – кандидат не е изпълнявал икономически дейности за последните две приключили финансови години, видно от представените счетоводни отчети към Годишния отчет за дейността (ГОД), следва да има предвид, че разходите за дейност 1 и дейност 4 са икономически дейности, поради което се отпускат в режим на минимална помощ за него</w:t>
      </w:r>
      <w:r w:rsidR="00CF3452" w:rsidRPr="0081288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.“</w:t>
      </w:r>
    </w:p>
    <w:p w14:paraId="21821510" w14:textId="77777777" w:rsidR="00CF3452" w:rsidRDefault="00CF3452" w:rsidP="00967AA7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Аналогично е посочено </w:t>
      </w:r>
      <w:r w:rsidR="008128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т.12 от Условията за кандидатстване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за ЮЛНЦ </w:t>
      </w:r>
      <w:r w:rsidR="008128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па</w:t>
      </w:r>
      <w:r w:rsidR="008128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тньор</w:t>
      </w:r>
      <w:r w:rsidR="008128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166EDA5C" w14:textId="77777777" w:rsidR="00967AA7" w:rsidRDefault="00CF3452" w:rsidP="00967AA7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Обръщаме внимание, че съгласно т. 11.1</w:t>
      </w:r>
      <w:r w:rsidR="00C108E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CF345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Критерии за допустимост на кандидатите</w:t>
      </w:r>
      <w:r w:rsidR="00C108E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т. 12.1  </w:t>
      </w:r>
      <w:r w:rsidRPr="00CF345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Критерии за допустимост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партньорите от</w:t>
      </w:r>
      <w:r w:rsidRPr="00CF345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Условията за кандидатстване, е поставено следното изискване: </w:t>
      </w:r>
      <w:r w:rsidR="0082162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</w:t>
      </w:r>
      <w:r w:rsidR="0082162A"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В тази връзка ЮЛНЦ следва да са извършвали дейност през последните две финансови години</w:t>
      </w:r>
      <w:r w:rsidR="00952AD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“</w:t>
      </w:r>
      <w:r w:rsidR="004A5A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.</w:t>
      </w:r>
      <w:r w:rsidR="00952AD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 xml:space="preserve"> </w:t>
      </w:r>
      <w:r w:rsidR="00952AD0" w:rsidRPr="00F50AC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Следва също да имате предвид, че </w:t>
      </w:r>
      <w:r w:rsidR="00563CB4" w:rsidRPr="00F50AC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по отношение на</w:t>
      </w:r>
      <w:r w:rsidR="00952AD0" w:rsidRPr="00F50AC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 пререгистрираните </w:t>
      </w:r>
      <w:r w:rsidR="00563CB4" w:rsidRPr="00F50AC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ЮЛНЦ</w:t>
      </w:r>
      <w:r w:rsidR="00F30FCB" w:rsidRPr="00F50AC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 </w:t>
      </w:r>
      <w:r w:rsidR="00F30FCB" w:rsidRPr="00F30FC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ТРРЮЛНЦ</w:t>
      </w:r>
      <w:r w:rsidR="0082162A"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952AD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„</w:t>
      </w:r>
      <w:r w:rsidR="0082162A"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За доказване на общественополезна дейност на ЮЛНЦ те трябва </w:t>
      </w:r>
      <w:r w:rsidR="0082162A"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да са обявили документите по чл. 40, ал. 3 от ЗЮЛНЦ (Годишен доклад за дейността и финансови отчети) за последните две приключили финансови години</w:t>
      </w:r>
      <w:r w:rsidR="0082162A"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  <w:r w:rsidR="0082162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“</w:t>
      </w:r>
      <w:r w:rsidR="00F4235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. </w:t>
      </w:r>
      <w:r w:rsidR="001E3D45" w:rsidRPr="001E3D4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r w:rsidR="00F4235C" w:rsidRPr="00F423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Условията за кандидатстване не </w:t>
      </w:r>
      <w:r w:rsidR="001E3D4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се съдържа</w:t>
      </w:r>
      <w:r w:rsidR="00F4235C" w:rsidRPr="00F423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изискване ЮЛНЦ да са извършвали икономическа дейност</w:t>
      </w:r>
      <w:r w:rsidR="00033D2F" w:rsidRPr="004666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CD6F8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смисъла на чл.107, §1 от ДФЕС</w:t>
      </w:r>
      <w:r w:rsidR="00F4235C" w:rsidRPr="00F423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през последните две години, за да се считат за допустими кандидати по процедурата.</w:t>
      </w:r>
    </w:p>
    <w:p w14:paraId="35BBC334" w14:textId="77777777" w:rsidR="00626AA3" w:rsidRDefault="00626AA3" w:rsidP="00967AA7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F3C7C2D" w14:textId="77777777" w:rsidR="00626AA3" w:rsidRDefault="00626AA3" w:rsidP="00626AA3">
      <w:pPr>
        <w:pStyle w:val="Heading2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4E74C5D4" w14:textId="77777777" w:rsidR="00626AA3" w:rsidRDefault="00626AA3" w:rsidP="00626AA3">
      <w:pPr>
        <w:pStyle w:val="Heading2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Въпроси, постъпили в периода 20.01.2021 г. – </w:t>
      </w:r>
      <w:r w:rsidRPr="00E365C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</w:t>
      </w:r>
      <w:r w:rsidRPr="00E365C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</w:t>
      </w:r>
      <w:r w:rsidRPr="00E365C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</w:t>
      </w:r>
      <w:r w:rsidRPr="00E365C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г.</w:t>
      </w:r>
    </w:p>
    <w:p w14:paraId="70D63D0A" w14:textId="77777777" w:rsidR="00967AA7" w:rsidRDefault="00967AA7" w:rsidP="00967A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5F09F78" w14:textId="77777777" w:rsidR="00967AA7" w:rsidRDefault="00967AA7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ВЪПРОС 2 от 31.01.2021 г. (постъпил чрез ИСУН 2020):</w:t>
      </w:r>
    </w:p>
    <w:p w14:paraId="5B229BBA" w14:textId="77777777" w:rsidR="00994D84" w:rsidRPr="0046663D" w:rsidRDefault="00967AA7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Поради стекли се обстоятелства прекъснах училище в 7 клас. Имам мъка с книжката вече близо 10 години…просто не мога да я извадя заради образованието. Разбрах за този шанс със тази програма и просто търся начин! Искам да участвам. Разбрах че срока е до мар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т, и очевидно има време. Моля з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място само!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Наистина.. Изтеглих формата за заявление, но къде трябва да се изпрати? Благодаря за отделеното време. </w:t>
      </w:r>
      <w:r w:rsidR="00033D2F" w:rsidRPr="004666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59BD264E" w14:textId="77777777" w:rsidR="00626AA3" w:rsidRPr="00626AA3" w:rsidRDefault="00626AA3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Р.Р.,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гр.Севлиево</w:t>
      </w:r>
      <w:proofErr w:type="spellEnd"/>
    </w:p>
    <w:p w14:paraId="48736237" w14:textId="77777777" w:rsidR="00994D84" w:rsidRDefault="00994D84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0D8BB6B1" w14:textId="77777777" w:rsidR="00994D84" w:rsidRPr="009E4E03" w:rsidRDefault="00994D84" w:rsidP="00D31AE8">
      <w:pPr>
        <w:pStyle w:val="Heading3"/>
        <w:pBdr>
          <w:bottom w:val="single" w:sz="4" w:space="1" w:color="auto"/>
        </w:pBdr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43EC6E8E" w14:textId="77777777" w:rsidR="00994D84" w:rsidRDefault="00994D84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Управляващият орган на </w:t>
      </w:r>
      <w:r w:rsidR="00626A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перативна програма „Наука и образование за интелигентен растеж“ 2014-2020  </w:t>
      </w:r>
      <w:r w:rsidR="009728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(ОПНОИР) 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 обявил процедура за предоставяне на безвъзмездна финансова помощ „Ограмотяване на възрастни – 2“. </w:t>
      </w:r>
      <w:r w:rsidRPr="009728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Целевата група по процедурата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са лица над 16 години без завършени класове от началния и/или прогимназиалния етап; неграмотни или слабо грамотни лица; лица, отпаднали от системата на образованието; безработни лица; лица, търсещи или получили закрила. </w:t>
      </w:r>
      <w:r w:rsidRPr="009728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Допустими кандидати по цитираната процедура са училища и неправителствени организации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които </w:t>
      </w:r>
      <w:r w:rsidR="00626A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могат да 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подават проектни предложения до 31.03.2021 г. С училища/неправителствени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 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одобрени проектни предложения се сключва договор за изпълнение на планираните дейности, сред които са провеждане на курсове за ограмотяване (1-4 клас) и курсове за усвояване на компет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нции от прогимназиален етап (5-7 клас) на основно образование и изпити за валидиране на резултати от неформалното обучение и </w:t>
      </w:r>
      <w:proofErr w:type="spellStart"/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информалното</w:t>
      </w:r>
      <w:proofErr w:type="spellEnd"/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учене.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Съгласно нормативната уредба – Закона за предучилищното и училищно образование и Наредба № 11 от 01.09.2016 г. за оценяване на резултатите от обучението на учениците </w:t>
      </w:r>
      <w:r w:rsidRPr="009728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единствено училищата провеждат цитираните курсове и изпитите за валидиране и издават документ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удостоверение за валидиране на компетентности за завършен клас/етап или основна степен на образование се издава съгласно държавния образователен стандарт за информацията и документите (Наредба № 8 от 11.08.2016 г. за информацията и документите за системата на предучилищното и училищното образование).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605A17A6" w14:textId="77777777" w:rsidR="00994D84" w:rsidRDefault="003510B4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Административни д</w:t>
      </w:r>
      <w:r w:rsidR="009728DB" w:rsidRPr="0036132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оговори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за предоставяне на безвъзмездна финансова помощ </w:t>
      </w:r>
      <w:r w:rsidR="009728DB" w:rsidRPr="0036132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одобрените за финансиране кандидати</w:t>
      </w:r>
      <w:r w:rsidR="009728DB" w:rsidRPr="0036132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училища/неправителствени организации се очаква да бъда</w:t>
      </w:r>
      <w:r w:rsidR="0008072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т</w:t>
      </w:r>
      <w:r w:rsidR="009728DB" w:rsidRPr="0036132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сключени към м. </w:t>
      </w:r>
      <w:r w:rsidR="004A0BE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август</w:t>
      </w:r>
      <w:r w:rsidR="004A0BEA" w:rsidRPr="0036132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9728DB" w:rsidRPr="0036132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2021 г., </w:t>
      </w:r>
      <w:r w:rsidR="009728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след приключване на оценката на подадените проектни предложения</w:t>
      </w:r>
      <w:r w:rsidR="008C3A0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8C3A0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публикувани н</w:t>
      </w:r>
      <w:r w:rsidR="009728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 сайта на ОПНОИР, Рубрика „Програма 2014-2020“, раздел „Сключени  договори“ (</w:t>
      </w:r>
      <w:hyperlink r:id="rId9" w:history="1">
        <w:r w:rsidR="009728DB" w:rsidRPr="00AE6C7F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http://sf.mon.bg/?go=page&amp;pageId=434</w:t>
        </w:r>
      </w:hyperlink>
      <w:r w:rsidR="009728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). 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да се включите в дейности по процедурата за 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придобиване на клас/етап/степен на образование по процедура „Ограмотяване на възрастни-2“ следва да се обърнете към училище</w:t>
      </w:r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или неправителствена организация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ко</w:t>
      </w:r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то </w:t>
      </w:r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имат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сключ</w:t>
      </w:r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ен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административен 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договор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финансиране на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одобрен проект </w:t>
      </w:r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осъществява</w:t>
      </w:r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не на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цитираните по-горе дейности, </w:t>
      </w:r>
      <w:r w:rsidR="004C2F5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или към Регионално управление на образованието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033D2F" w:rsidRPr="004666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Контакти на всички Регионални управления на образованието може да намерите на следния линк </w:t>
      </w:r>
      <w:hyperlink r:id="rId10" w:history="1">
        <w:r w:rsidR="00361325" w:rsidRPr="00AE6C7F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https://www.mon.bg/bg/324</w:t>
        </w:r>
      </w:hyperlink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p w14:paraId="7B4A21E1" w14:textId="77777777" w:rsidR="008C3A0C" w:rsidRPr="00361325" w:rsidRDefault="008C3A0C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C3A0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Обръщаме Ви внимание, че условията за придобиване на свидетелство за управление на моторно превозно средство са регламентирани в Закона за движението по пътищата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6602A820" w14:textId="77777777" w:rsidR="004A0BEA" w:rsidRDefault="004A0BEA" w:rsidP="00840A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0EF8C957" w14:textId="77777777" w:rsidR="00840A4A" w:rsidRDefault="00840A4A" w:rsidP="00840A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ВЪПРОС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3 от 0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1.0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.2021 г.:</w:t>
      </w:r>
    </w:p>
    <w:p w14:paraId="7950CFCA" w14:textId="77777777" w:rsidR="00840A4A" w:rsidRPr="00840A4A" w:rsidRDefault="00840A4A" w:rsidP="00840A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Здравейте,  </w:t>
      </w:r>
    </w:p>
    <w:p w14:paraId="2C4079A3" w14:textId="77777777" w:rsidR="00840A4A" w:rsidRPr="00840A4A" w:rsidRDefault="00840A4A" w:rsidP="00840A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0A4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Въпросът ни е свързан с ролята на нашата фондация като партньор към училище. Организацията ни е участвала в проект "Образователна интеграция ма деца и ученици от етническите малцинства в община Пловдив" през 2002 г., но е била неактивна (не е извършила дейности - обществено полезни и икономически) в последните две години. Възможно ли е да участваме като пар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тньор в отворената процедурата?</w:t>
      </w:r>
    </w:p>
    <w:p w14:paraId="4087226E" w14:textId="77777777" w:rsidR="00840A4A" w:rsidRPr="00840A4A" w:rsidRDefault="00840A4A" w:rsidP="00840A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уважение,</w:t>
      </w:r>
    </w:p>
    <w:p w14:paraId="1B40A2FD" w14:textId="77777777" w:rsidR="00840A4A" w:rsidRDefault="00840A4A" w:rsidP="00840A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0A4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Екип на фондация Хаир</w:t>
      </w:r>
    </w:p>
    <w:p w14:paraId="19B99343" w14:textId="77777777" w:rsidR="00840A4A" w:rsidRDefault="00840A4A" w:rsidP="00840A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F533286" w14:textId="77777777" w:rsidR="00840A4A" w:rsidRPr="0046663D" w:rsidRDefault="00840A4A" w:rsidP="00840A4A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46663D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35C63FEF" w14:textId="77777777" w:rsidR="00D31AE8" w:rsidRPr="0046663D" w:rsidRDefault="00D31AE8" w:rsidP="002E2FE9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666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т.12.1.Критерии за допустимост на партньорите от Условията за кандидатстване детайлно са описани изискванията за допустими партньори, където е поставено следното изискване: „</w:t>
      </w:r>
      <w:r w:rsidRPr="0046663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В тази връзка ЮЛНЦ следва да са извършвали дейност през последните две финансови години“.</w:t>
      </w:r>
      <w:r w:rsidRPr="0046663D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2E2FE9" w:rsidRPr="004666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Проверката за допустимостта на партньорите </w:t>
      </w:r>
      <w:r w:rsidR="009C7E75" w:rsidRPr="004666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</w:t>
      </w:r>
      <w:r w:rsidR="002E2FE9" w:rsidRPr="004666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 </w:t>
      </w:r>
      <w:r w:rsidR="009C7E75" w:rsidRPr="004666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извършва </w:t>
      </w:r>
      <w:r w:rsidR="002E2FE9" w:rsidRPr="004666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съгласно</w:t>
      </w:r>
      <w:r w:rsidR="00C070F4" w:rsidRPr="004666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точка 12 от Условията за кандидатстване и</w:t>
      </w:r>
      <w:r w:rsidR="002E2FE9" w:rsidRPr="004666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Методология и критерии за оценка на проектни предложения по процедура чрез подбор на проекти BG05M2OP001-3.020 - ОГРАМОТЯВАНЕ НА ВЪЗРАСТНИ – 2 – приложение </w:t>
      </w:r>
      <w:r w:rsidR="002E2FE9" w:rsidRPr="0046663D">
        <w:rPr>
          <w:rFonts w:ascii="Times New Roman" w:hAnsi="Times New Roman" w:cs="Times New Roman"/>
          <w:color w:val="000000" w:themeColor="text1"/>
          <w:sz w:val="24"/>
          <w:szCs w:val="24"/>
        </w:rPr>
        <w:t>XIII</w:t>
      </w:r>
      <w:r w:rsidR="002E2FE9" w:rsidRPr="004666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към Условия за кандидатстване.</w:t>
      </w:r>
    </w:p>
    <w:p w14:paraId="118F740A" w14:textId="218E442B" w:rsidR="008B2389" w:rsidRDefault="008B2389" w:rsidP="008B2389">
      <w:pPr>
        <w:pStyle w:val="Heading2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4666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Въпроси, постъпили в периода 0</w:t>
      </w:r>
      <w:r w:rsidR="00033D2F" w:rsidRPr="004666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</w:t>
      </w:r>
      <w:r w:rsidRPr="004666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.02.2021 г.</w:t>
      </w:r>
      <w:r w:rsidR="00033D2F" w:rsidRPr="004666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- </w:t>
      </w:r>
      <w:r w:rsidR="00466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</w:t>
      </w:r>
      <w:r w:rsidR="0046663D" w:rsidRPr="004666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</w:t>
      </w:r>
      <w:r w:rsidR="00033D2F" w:rsidRPr="004666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02.2021 </w:t>
      </w:r>
      <w:r w:rsidRPr="004666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г.</w:t>
      </w:r>
    </w:p>
    <w:p w14:paraId="476370A9" w14:textId="77777777" w:rsidR="008B2389" w:rsidRPr="001C567B" w:rsidRDefault="008B2389" w:rsidP="001C567B">
      <w:pPr>
        <w:rPr>
          <w:lang w:val="bg-BG"/>
        </w:rPr>
      </w:pPr>
    </w:p>
    <w:p w14:paraId="4CE5D2BE" w14:textId="77777777" w:rsidR="008B2389" w:rsidRPr="001C567B" w:rsidRDefault="008B2389" w:rsidP="008B238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B238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 </w:t>
      </w:r>
      <w:r w:rsidRPr="001C567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567B">
        <w:rPr>
          <w:rFonts w:ascii="Times New Roman" w:hAnsi="Times New Roman" w:cs="Times New Roman"/>
          <w:b/>
          <w:sz w:val="24"/>
          <w:szCs w:val="24"/>
          <w:lang w:val="bg-BG"/>
        </w:rPr>
        <w:t>от 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1C567B">
        <w:rPr>
          <w:rFonts w:ascii="Times New Roman" w:hAnsi="Times New Roman" w:cs="Times New Roman"/>
          <w:b/>
          <w:sz w:val="24"/>
          <w:szCs w:val="24"/>
          <w:lang w:val="bg-BG"/>
        </w:rPr>
        <w:t>.02.2021 г.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27D2AA93" w14:textId="77777777" w:rsidR="008B2389" w:rsidRPr="008B2389" w:rsidRDefault="008B2389" w:rsidP="008B238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Здравейте,</w:t>
      </w:r>
    </w:p>
    <w:p w14:paraId="57E6A44A" w14:textId="77777777" w:rsidR="008B2389" w:rsidRPr="008B2389" w:rsidRDefault="008B2389" w:rsidP="008B238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B2389">
        <w:rPr>
          <w:rFonts w:ascii="Times New Roman" w:hAnsi="Times New Roman" w:cs="Times New Roman"/>
          <w:sz w:val="24"/>
          <w:szCs w:val="24"/>
          <w:lang w:val="bg-BG"/>
        </w:rPr>
        <w:t>Във връзка с отворена процедура за кандидатстване BG05M2ОP001-3.020 „Ограмотяване на възрастни - 2“ моля за следните разяснения:</w:t>
      </w:r>
    </w:p>
    <w:p w14:paraId="46399162" w14:textId="77777777" w:rsidR="008B2389" w:rsidRPr="008B2389" w:rsidRDefault="008B2389" w:rsidP="004C6A4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389">
        <w:rPr>
          <w:rFonts w:ascii="Times New Roman" w:hAnsi="Times New Roman" w:cs="Times New Roman"/>
          <w:sz w:val="24"/>
          <w:szCs w:val="24"/>
          <w:lang w:val="bg-BG"/>
        </w:rPr>
        <w:lastRenderedPageBreak/>
        <w:t>1. Къде може да бъде открито Помощна таблица за планиране на ПП (Приложение IX към Условията за кандидатстване), тъй като липсват в Условията за кандидатстване и Условията за изпълнение?</w:t>
      </w:r>
    </w:p>
    <w:p w14:paraId="298B4906" w14:textId="77777777" w:rsidR="008B2389" w:rsidRPr="008B2389" w:rsidRDefault="008B2389" w:rsidP="004C6A4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389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033D2F" w:rsidRPr="004666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B2389">
        <w:rPr>
          <w:rFonts w:ascii="Times New Roman" w:hAnsi="Times New Roman" w:cs="Times New Roman"/>
          <w:sz w:val="24"/>
          <w:szCs w:val="24"/>
          <w:lang w:val="bg-BG"/>
        </w:rPr>
        <w:t>Допълнителни специфични за операцията индикатори задължителни ли са за посочване в проектните предложения?</w:t>
      </w:r>
    </w:p>
    <w:p w14:paraId="5F7D3EA6" w14:textId="77777777" w:rsidR="008B2389" w:rsidRPr="008B2389" w:rsidRDefault="008B2389" w:rsidP="004C6A4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389">
        <w:rPr>
          <w:rFonts w:ascii="Times New Roman" w:hAnsi="Times New Roman" w:cs="Times New Roman"/>
          <w:sz w:val="24"/>
          <w:szCs w:val="24"/>
          <w:lang w:val="bg-BG"/>
        </w:rPr>
        <w:t>3. От къде може да бъде получена информация кои лица са били включени в предходната фаза, изпълнявана от МОН?</w:t>
      </w:r>
    </w:p>
    <w:p w14:paraId="62D94D7B" w14:textId="77777777" w:rsidR="008B2389" w:rsidRDefault="008B2389" w:rsidP="004C6A4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389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proofErr w:type="spellStart"/>
      <w:r w:rsidRPr="008B2389">
        <w:rPr>
          <w:rFonts w:ascii="Times New Roman" w:hAnsi="Times New Roman" w:cs="Times New Roman"/>
          <w:sz w:val="24"/>
          <w:szCs w:val="24"/>
          <w:lang w:val="bg-BG"/>
        </w:rPr>
        <w:t>Поддейностите</w:t>
      </w:r>
      <w:proofErr w:type="spellEnd"/>
      <w:r w:rsidRPr="008B2389">
        <w:rPr>
          <w:rFonts w:ascii="Times New Roman" w:hAnsi="Times New Roman" w:cs="Times New Roman"/>
          <w:sz w:val="24"/>
          <w:szCs w:val="24"/>
          <w:lang w:val="bg-BG"/>
        </w:rPr>
        <w:t xml:space="preserve"> като отделни дейности ли трябва да се посочват в раздел 7 в ИСУН?</w:t>
      </w:r>
    </w:p>
    <w:p w14:paraId="457E4618" w14:textId="77777777" w:rsidR="008B2389" w:rsidRDefault="008B2389" w:rsidP="004C6A4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B2389">
        <w:rPr>
          <w:rFonts w:ascii="Times New Roman" w:hAnsi="Times New Roman" w:cs="Times New Roman"/>
          <w:sz w:val="24"/>
          <w:szCs w:val="24"/>
          <w:lang w:val="bg-BG"/>
        </w:rPr>
        <w:t>Multi</w:t>
      </w:r>
      <w:proofErr w:type="spellEnd"/>
      <w:r w:rsidRPr="008B23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B2389">
        <w:rPr>
          <w:rFonts w:ascii="Times New Roman" w:hAnsi="Times New Roman" w:cs="Times New Roman"/>
          <w:sz w:val="24"/>
          <w:szCs w:val="24"/>
          <w:lang w:val="bg-BG"/>
        </w:rPr>
        <w:t>act</w:t>
      </w:r>
      <w:proofErr w:type="spellEnd"/>
      <w:r w:rsidRPr="008B2389">
        <w:rPr>
          <w:rFonts w:ascii="Times New Roman" w:hAnsi="Times New Roman" w:cs="Times New Roman"/>
          <w:sz w:val="24"/>
          <w:szCs w:val="24"/>
          <w:lang w:val="bg-BG"/>
        </w:rPr>
        <w:t xml:space="preserve"> | </w:t>
      </w:r>
      <w:proofErr w:type="spellStart"/>
      <w:r w:rsidRPr="008B2389">
        <w:rPr>
          <w:rFonts w:ascii="Times New Roman" w:hAnsi="Times New Roman" w:cs="Times New Roman"/>
          <w:sz w:val="24"/>
          <w:szCs w:val="24"/>
          <w:lang w:val="bg-BG"/>
        </w:rPr>
        <w:t>non-profit</w:t>
      </w:r>
      <w:proofErr w:type="spellEnd"/>
      <w:r w:rsidRPr="008B23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B2389">
        <w:rPr>
          <w:rFonts w:ascii="Times New Roman" w:hAnsi="Times New Roman" w:cs="Times New Roman"/>
          <w:sz w:val="24"/>
          <w:szCs w:val="24"/>
          <w:lang w:val="bg-BG"/>
        </w:rPr>
        <w:t>organization</w:t>
      </w:r>
      <w:proofErr w:type="spellEnd"/>
    </w:p>
    <w:p w14:paraId="1853DB77" w14:textId="77777777" w:rsidR="008B2389" w:rsidRPr="001C567B" w:rsidRDefault="008B2389" w:rsidP="001C567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417286A" w14:textId="77777777" w:rsidR="008B2389" w:rsidRPr="009E4E03" w:rsidRDefault="008B2389" w:rsidP="008B2389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67764F96" w14:textId="77777777" w:rsidR="00840A4A" w:rsidRDefault="008B2389" w:rsidP="008B2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1. </w:t>
      </w:r>
      <w:r w:rsidRPr="008B238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Помо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щна таблица за планиране на ПП -</w:t>
      </w:r>
      <w:r w:rsidRPr="008B238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Приложение IX към Условията за кандидатстване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е част </w:t>
      </w:r>
      <w:r w:rsidRPr="000A2FA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Условия за кандидатстване – приложения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архивиран файл 02 Условия за кандидатстване, който съдържа две папки: 02.1. Приложения за попълване и 02.2. Приложения за информация. </w:t>
      </w:r>
      <w:r w:rsidRPr="000A2FA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 папка 02.1. Приложения за попълване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ще намерите файл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Annex</w:t>
      </w:r>
      <w:r w:rsidR="00033D2F" w:rsidRPr="004666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IX</w:t>
      </w:r>
      <w:r w:rsidR="00033D2F" w:rsidRPr="004666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Помощна таблица за планиране на ПП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ексел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формат.</w:t>
      </w:r>
    </w:p>
    <w:p w14:paraId="40D8089B" w14:textId="77777777" w:rsidR="007D1F9A" w:rsidRDefault="00BF4A6E" w:rsidP="0030354C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2.</w:t>
      </w:r>
      <w:r w:rsidR="00F6396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Съгласно т. </w:t>
      </w:r>
      <w:r w:rsidR="0024002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</w:t>
      </w:r>
      <w:r w:rsidR="000E60D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F6396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Индикатори от Условията за кандидатстване „</w:t>
      </w:r>
      <w:r w:rsidR="00F63966" w:rsidRPr="001C567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В проектните предложения следва да бъдат включени всички задължителни индикатори: И3213, И3213-1, И3213-2, И3213-3, И3213-4, И2327, Р3213, а при включена дейност 3 и И2323, Р2322. Тези изисквания са условия за допустимост на проектните предложения по процедурата и неспазването им ще доведе до отхвърляне на проектите</w:t>
      </w:r>
      <w:r w:rsidR="00F6396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.“ </w:t>
      </w:r>
    </w:p>
    <w:p w14:paraId="3ACEF75A" w14:textId="149FBC64" w:rsidR="009C3517" w:rsidRPr="00BE6673" w:rsidRDefault="007D1F9A" w:rsidP="009C35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A2FA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Относно допълнителните специфични индикатори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които не са изброени сред задължителните в Условията за кандидатстване</w:t>
      </w:r>
      <w:r w:rsidR="003C6A2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Pr="000A2FA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3C6A2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бърнете внимание, че </w:t>
      </w:r>
      <w:r w:rsidR="003C6A2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ще Ви помогнат при определяне на бюджета на проектното предложение, съгласно т.14.2. от Условията за кандидатстване </w:t>
      </w:r>
      <w:r w:rsidR="007C5CF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като попълните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Помощна таблица за планиране на проектно предложение</w:t>
      </w:r>
      <w:r w:rsidR="007C5CF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папка 02.1 Приложения за попълване към Условия за кандид</w:t>
      </w:r>
      <w:r w:rsidR="003C6A2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="007C5CF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тстване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3C6A2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2A5B6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Допълните</w:t>
      </w:r>
      <w:r w:rsidR="00433F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лните</w:t>
      </w:r>
      <w:r w:rsidR="002A5B6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специфични индикатори участват и в техническата и финансовата оценка на проектното предложение – Приложение </w:t>
      </w:r>
      <w:r w:rsidR="002A5B68">
        <w:rPr>
          <w:rFonts w:ascii="Times New Roman" w:hAnsi="Times New Roman" w:cs="Times New Roman"/>
          <w:color w:val="000000" w:themeColor="text1"/>
          <w:sz w:val="24"/>
          <w:szCs w:val="24"/>
        </w:rPr>
        <w:t>XIII</w:t>
      </w:r>
      <w:r w:rsidR="007C5CF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-Методология и критерии за оценка</w:t>
      </w:r>
      <w:r w:rsidR="003C6A2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проектни предложения </w:t>
      </w:r>
      <w:r w:rsidR="002A5B6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</w:t>
      </w:r>
      <w:r w:rsidR="007C5CF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приложения</w:t>
      </w:r>
      <w:r w:rsidR="003C6A2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та</w:t>
      </w:r>
      <w:r w:rsidR="007C5CF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2A5B6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</w:t>
      </w:r>
      <w:r w:rsidR="007C5CF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информация </w:t>
      </w:r>
      <w:r w:rsidR="002A5B6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към Условията за кандидатстване.</w:t>
      </w:r>
      <w:r w:rsidR="009C351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C3517" w:rsidRPr="001F1E5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допълнение, </w:t>
      </w:r>
      <w:r w:rsidR="009C351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 представяне на информацията за индик</w:t>
      </w:r>
      <w:r w:rsidR="004857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аторите, </w:t>
      </w:r>
      <w:proofErr w:type="spellStart"/>
      <w:r w:rsidR="004857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относими</w:t>
      </w:r>
      <w:proofErr w:type="spellEnd"/>
      <w:r w:rsidR="004857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към проектните предложения</w:t>
      </w:r>
      <w:r w:rsidR="009C351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E2216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кандидатите </w:t>
      </w:r>
      <w:r w:rsidR="009C351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следва да </w:t>
      </w:r>
      <w:r w:rsidR="00E2216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имат предвид</w:t>
      </w:r>
      <w:r w:rsidR="009C351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указание</w:t>
      </w:r>
      <w:r w:rsidR="00E2216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</w:t>
      </w:r>
      <w:r w:rsidR="009C351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посочено в</w:t>
      </w:r>
      <w:r w:rsidR="009C3517" w:rsidRPr="001F1E5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т. 13 от Условията за кандидатстване</w:t>
      </w:r>
      <w:r w:rsidR="00E2216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а именно</w:t>
      </w:r>
      <w:r w:rsidR="009C351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: „В поле </w:t>
      </w:r>
      <w:r w:rsidR="009C3517" w:rsidRPr="00BE667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„Резултат“</w:t>
      </w:r>
      <w:r w:rsidR="009C351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C3517" w:rsidRPr="00BE667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следва да се опишат очакваните конкретни резултати от изпълнението на планираната дейност, включително да се посочи за изпълнението на кои индикатори допринася дейността</w:t>
      </w:r>
      <w:r w:rsidR="004857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9C3517" w:rsidRPr="00BE667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като се посочи и стойност на съответния индикатор. Индикаторите и стойностите им, посочени в секция</w:t>
      </w:r>
      <w:r w:rsidR="009C351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C3517" w:rsidRPr="00BE667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 „План за изпълнение/Дейности по проекта“, поле „Резултат“</w:t>
      </w:r>
      <w:r w:rsidR="0040463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9C3517" w:rsidRPr="00BE667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следва </w:t>
      </w:r>
      <w:r w:rsidR="009C3517" w:rsidRPr="00BE667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да съответстват на индикаторите и стойностите, посочени в секция</w:t>
      </w:r>
      <w:r w:rsidR="009C351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C3517" w:rsidRPr="00BE667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 „Индикатори“ на Формуляра за кандидатстване</w:t>
      </w:r>
      <w:r w:rsidR="009C351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”.</w:t>
      </w:r>
    </w:p>
    <w:p w14:paraId="3127E954" w14:textId="55291DD6" w:rsidR="00EE2B0E" w:rsidRPr="00EE2B0E" w:rsidRDefault="002A5B68" w:rsidP="00EE2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</w:t>
      </w:r>
      <w:r w:rsidR="007C5CF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EE2B0E" w:rsidRPr="00EE2B0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Съгласно Условията за кандидатстване по процедурата, стр. 17: „С цел недопускане на двойно финансиране, в процеса на изпълнение на проектите ще се извършва/проследява </w:t>
      </w:r>
      <w:proofErr w:type="spellStart"/>
      <w:r w:rsidR="00EE2B0E" w:rsidRPr="00EE2B0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демаркация</w:t>
      </w:r>
      <w:proofErr w:type="spellEnd"/>
      <w:r w:rsidR="00EE2B0E" w:rsidRPr="00EE2B0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 отношение на дейностите и целевите групи, финансирани по настоящата процедура и всички други процедури, финансирани по ОПНОИР и други публични национални или международни финансови източници. Недопускане на дублирането на целевите групи и дейности се наблюдава/проверява на етап кандидатстване (чрез декларации), на етап договаряне (чрез проверки за двойно финансиране), а при изпълнението на проектите чрез проверки за двойно финансиране, списъци на участници, дейности и др.“ </w:t>
      </w:r>
    </w:p>
    <w:p w14:paraId="632F150E" w14:textId="77777777" w:rsidR="00EE2B0E" w:rsidRPr="00EE2B0E" w:rsidRDefault="00EE2B0E" w:rsidP="00EE2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E2B0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етап кандидатстване, за подготовката на проектното предложение и в частност при изготвяне на подлежащия на оценка Механизъм за идентифициране и мотивиране на целевите групи и включването им в дейности по процедурата, не е необходима информация за конкретните лица, участвали в проект BG05M2OP001-3.004-0001 „Нов шанс за у</w:t>
      </w:r>
      <w:bookmarkStart w:id="0" w:name="_GoBack"/>
      <w:bookmarkEnd w:id="0"/>
      <w:r w:rsidRPr="00EE2B0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спех“. На етап изпълнение, след сключване на административен договор за предоставяне на БФП, Управляващият орган може да извърши служебна проверка на лицата от целевата група, включени в съответния проект.</w:t>
      </w:r>
    </w:p>
    <w:p w14:paraId="20479640" w14:textId="77A93559" w:rsidR="00EE2B0E" w:rsidRPr="00EE2B0E" w:rsidRDefault="00EE2B0E" w:rsidP="00EE2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E2B0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проект BG05M2OP001-3.004-0001 „Нов шанс за успех“ са включени лица над 16-годишна възраст, получили удостоверения, които не подлежат на вписване в официалните регистри на Министерство на образованието и науката. В тази връзка допълнителна информация за лицата, които са получили удостоверение за завършен начален етап от основното образование (1-4 клас) и/или удостоверение за завършен клас от прогимназиалния етап (5-7 клас) може да бъде получена от училища от съответния регион,  включително тези, които ще се включат в проектно предложение по процедура BG05M2ОP001-3.020 „Ограмотяване на възрастни-2“ при спазване на Закона за защита на личните данни и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(ОВ, L 119/1 от 4 май 2016 г.).</w:t>
      </w:r>
    </w:p>
    <w:p w14:paraId="6A817AF4" w14:textId="29C4EF2A" w:rsidR="00EE2B0E" w:rsidRPr="00766526" w:rsidRDefault="00EE2B0E" w:rsidP="00EE2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E2B0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Моля да обърнете внимание, че лица, които са получили удостоверение за завършен начален етап от основното  образование (1-4 клас) по проект BG05M2OP001-3.004-0001 „Нов шанс за успех“, могат да бъдат включени като целева група по процедура BG05M2ОP001-3.020 „Ограмотяване на възрастни-2“ в 5 клас. Аналогично лица, които са получили удостоверение за завършен 5 и/или 6 клас, могат да бъдат включени като обучаеми в следващия клас.</w:t>
      </w:r>
    </w:p>
    <w:p w14:paraId="7973CB5D" w14:textId="6E79E31F" w:rsidR="00EF3C5C" w:rsidRDefault="00C34C9E" w:rsidP="00EF3C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4</w:t>
      </w:r>
      <w:r w:rsidR="0067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14F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секция 7 „План за изпълнение/Дейности по проекта“ от електронния формуляр за кандидатстване   </w:t>
      </w:r>
      <w:r w:rsidR="00B84CDD" w:rsidRPr="00B84CD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има общо 10 000 символа</w:t>
      </w:r>
      <w:r w:rsidR="00F514F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811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62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84CDD" w:rsidRPr="00B84CD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без наименованието за дейността</w:t>
      </w:r>
      <w:r w:rsidR="0081162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514F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81162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три полета: поле „Описание“ – 4 000 символа, поле „Начин на изпълнение“- 3 000 символа и поле </w:t>
      </w:r>
      <w:r w:rsidR="0081162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„резултат“- 3 000 символа. В случай че </w:t>
      </w:r>
      <w:r w:rsidR="0067054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съответните текстове </w:t>
      </w:r>
      <w:r w:rsidR="0081162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надхвърлят цитираните ограничения, по преценка на кандидата </w:t>
      </w:r>
      <w:proofErr w:type="spellStart"/>
      <w:r w:rsidR="00F514F6" w:rsidRPr="00F514F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поддейности</w:t>
      </w:r>
      <w:r w:rsidR="0067054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те</w:t>
      </w:r>
      <w:proofErr w:type="spellEnd"/>
      <w:r w:rsidR="00F514F6" w:rsidRPr="00F514F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67054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могат</w:t>
      </w:r>
      <w:r w:rsidR="00670542" w:rsidRPr="00F514F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да </w:t>
      </w:r>
      <w:r w:rsidR="0067054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бъдат </w:t>
      </w:r>
      <w:r w:rsidR="00670542" w:rsidRPr="00F514F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въвежд</w:t>
      </w:r>
      <w:r w:rsidR="0067054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ани</w:t>
      </w:r>
      <w:r w:rsidR="00670542" w:rsidRPr="00F514F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514F6" w:rsidRPr="00F514F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като отделни дейности</w:t>
      </w:r>
      <w:r w:rsidR="00F514F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електронния формуляр за кандидатстване</w:t>
      </w:r>
      <w:r w:rsidR="00B84CDD" w:rsidRPr="00B84CD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EF3C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Същевременно</w:t>
      </w:r>
      <w:r w:rsidR="0067054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обръщаме внимание, че</w:t>
      </w:r>
      <w:r w:rsidR="00EF3C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секция 11. </w:t>
      </w:r>
      <w:r w:rsidR="00EF3C5C" w:rsidRPr="00EF3C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Допълнителна информация необходима за оценка на проектното предложение</w:t>
      </w:r>
      <w:r w:rsidR="00EF3C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формуляра за кандидатстване имате полета, всяко с по 10 000 символа, които реферират към дейностите по проекта </w:t>
      </w:r>
      <w:r w:rsidR="00EF3C5C" w:rsidRPr="00B84CD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целта са дадени указания в Приложения XI</w:t>
      </w:r>
      <w:r w:rsidR="00EF3C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Указания ИСУН</w:t>
      </w:r>
      <w:r w:rsidR="00EF3C5C" w:rsidRPr="00B84CD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EF3C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</w:t>
      </w:r>
      <w:r w:rsidR="007C5CF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па</w:t>
      </w:r>
      <w:r w:rsidR="000A2FA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="007C5CF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ка 02.2. Приложения </w:t>
      </w:r>
      <w:r w:rsidR="00EF3C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информация </w:t>
      </w:r>
      <w:r w:rsidR="00EF3C5C" w:rsidRPr="00B84CD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към Условията за кандидатстване</w:t>
      </w:r>
      <w:r w:rsidR="00EF3C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EF3C5C" w:rsidRPr="00EF3C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372A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6A4D9C1A" w14:textId="77777777" w:rsidR="00D20C09" w:rsidRPr="00EF3C5C" w:rsidRDefault="00D20C09" w:rsidP="000A2FA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E6A923F" w14:textId="77777777" w:rsidR="00B84CDD" w:rsidRDefault="00B84CDD" w:rsidP="00EF3C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19795DF2" w14:textId="77777777" w:rsidR="00636E35" w:rsidRDefault="00636E35" w:rsidP="00636E3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B238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76662">
        <w:rPr>
          <w:rFonts w:ascii="Times New Roman" w:hAnsi="Times New Roman" w:cs="Times New Roman"/>
          <w:b/>
          <w:sz w:val="24"/>
          <w:szCs w:val="24"/>
          <w:lang w:val="bg-BG"/>
        </w:rPr>
        <w:t>от 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F76662">
        <w:rPr>
          <w:rFonts w:ascii="Times New Roman" w:hAnsi="Times New Roman" w:cs="Times New Roman"/>
          <w:b/>
          <w:sz w:val="24"/>
          <w:szCs w:val="24"/>
          <w:lang w:val="bg-BG"/>
        </w:rPr>
        <w:t>.02.2021 г.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6015C555" w14:textId="77777777" w:rsidR="00636E35" w:rsidRPr="001C567B" w:rsidRDefault="00636E35" w:rsidP="001C567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567B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отворена процедура за кандидатстване BG05M2ОP001-3.020 „Ограмотяване на възрастни - 2“ моля за следните разяснения: </w:t>
      </w:r>
    </w:p>
    <w:p w14:paraId="3E404577" w14:textId="77777777" w:rsidR="00636E35" w:rsidRPr="001C567B" w:rsidRDefault="00636E35" w:rsidP="001C567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567B">
        <w:rPr>
          <w:rFonts w:ascii="Times New Roman" w:hAnsi="Times New Roman" w:cs="Times New Roman"/>
          <w:sz w:val="24"/>
          <w:szCs w:val="24"/>
          <w:lang w:val="bg-BG"/>
        </w:rPr>
        <w:t xml:space="preserve">1. Допустимо ли е включването на предварителни разходи (разходи направени преди подписването на АДБФП) за извършване на предварителни анализи за подготовка на „Механизъм за идентифициране и мотивиране на целевите групи“? Допустимо ли е възлагането на външна за кандидата/партньора организация, която да изготви Механизма? Ако да, то как би следвало да се </w:t>
      </w:r>
      <w:proofErr w:type="spellStart"/>
      <w:r w:rsidRPr="001C567B">
        <w:rPr>
          <w:rFonts w:ascii="Times New Roman" w:hAnsi="Times New Roman" w:cs="Times New Roman"/>
          <w:sz w:val="24"/>
          <w:szCs w:val="24"/>
          <w:lang w:val="bg-BG"/>
        </w:rPr>
        <w:t>бюджетира</w:t>
      </w:r>
      <w:proofErr w:type="spellEnd"/>
      <w:r w:rsidRPr="001C567B">
        <w:rPr>
          <w:rFonts w:ascii="Times New Roman" w:hAnsi="Times New Roman" w:cs="Times New Roman"/>
          <w:sz w:val="24"/>
          <w:szCs w:val="24"/>
          <w:lang w:val="bg-BG"/>
        </w:rPr>
        <w:t xml:space="preserve"> този разход?</w:t>
      </w:r>
    </w:p>
    <w:p w14:paraId="42B5BC2C" w14:textId="77777777" w:rsidR="00636E35" w:rsidRPr="001C567B" w:rsidRDefault="00636E35" w:rsidP="001C567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567B">
        <w:rPr>
          <w:rFonts w:ascii="Times New Roman" w:hAnsi="Times New Roman" w:cs="Times New Roman"/>
          <w:sz w:val="24"/>
          <w:szCs w:val="24"/>
          <w:lang w:val="bg-BG"/>
        </w:rPr>
        <w:t xml:space="preserve">2. Допустими разходи ли са разходи за Възнаграждения за организатори на обученията; Възнаграждения за </w:t>
      </w:r>
      <w:proofErr w:type="spellStart"/>
      <w:r w:rsidRPr="001C567B">
        <w:rPr>
          <w:rFonts w:ascii="Times New Roman" w:hAnsi="Times New Roman" w:cs="Times New Roman"/>
          <w:sz w:val="24"/>
          <w:szCs w:val="24"/>
          <w:lang w:val="bg-BG"/>
        </w:rPr>
        <w:t>медиатори</w:t>
      </w:r>
      <w:proofErr w:type="spellEnd"/>
      <w:r w:rsidRPr="001C567B">
        <w:rPr>
          <w:rFonts w:ascii="Times New Roman" w:hAnsi="Times New Roman" w:cs="Times New Roman"/>
          <w:sz w:val="24"/>
          <w:szCs w:val="24"/>
          <w:lang w:val="bg-BG"/>
        </w:rPr>
        <w:t xml:space="preserve">; Командировки; Разходи за провеждане на мероприятия за лицата от целевата група; Разходи за закупуване на материали и консумативи; Отпечатване на учебни средства; транспорт на обучаемите; Възнаграждения на начални и/или прогимназиални учители; Възнаграждения за организатори на обученията; Възнаграждения на квестори и оценители и други разходи свързани с организирането и провеждането на обучения и изпити? Къде и как следва да бъдат </w:t>
      </w:r>
      <w:r w:rsidRPr="00636E35">
        <w:rPr>
          <w:rFonts w:ascii="Times New Roman" w:hAnsi="Times New Roman" w:cs="Times New Roman"/>
          <w:sz w:val="24"/>
          <w:szCs w:val="24"/>
          <w:lang w:val="bg-BG"/>
        </w:rPr>
        <w:t>описани тези конкретни разходи?</w:t>
      </w:r>
    </w:p>
    <w:p w14:paraId="5100CAEF" w14:textId="77777777" w:rsidR="00636E35" w:rsidRPr="001C567B" w:rsidRDefault="00636E35" w:rsidP="001C567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567B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</w:p>
    <w:p w14:paraId="267622B2" w14:textId="77777777" w:rsidR="00636E35" w:rsidRPr="001C567B" w:rsidRDefault="00636E35" w:rsidP="001C567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567B">
        <w:rPr>
          <w:rFonts w:ascii="Times New Roman" w:hAnsi="Times New Roman" w:cs="Times New Roman"/>
          <w:sz w:val="24"/>
          <w:szCs w:val="24"/>
          <w:lang w:val="bg-BG"/>
        </w:rPr>
        <w:t>Сдружение "</w:t>
      </w:r>
      <w:proofErr w:type="spellStart"/>
      <w:r w:rsidRPr="001C567B">
        <w:rPr>
          <w:rFonts w:ascii="Times New Roman" w:hAnsi="Times New Roman" w:cs="Times New Roman"/>
          <w:sz w:val="24"/>
          <w:szCs w:val="24"/>
          <w:lang w:val="bg-BG"/>
        </w:rPr>
        <w:t>Мулти</w:t>
      </w:r>
      <w:proofErr w:type="spellEnd"/>
      <w:r w:rsidRPr="001C567B">
        <w:rPr>
          <w:rFonts w:ascii="Times New Roman" w:hAnsi="Times New Roman" w:cs="Times New Roman"/>
          <w:sz w:val="24"/>
          <w:szCs w:val="24"/>
          <w:lang w:val="bg-BG"/>
        </w:rPr>
        <w:t xml:space="preserve"> акт"</w:t>
      </w:r>
    </w:p>
    <w:p w14:paraId="1D1DC169" w14:textId="77777777" w:rsidR="00636E35" w:rsidRPr="009E4E03" w:rsidRDefault="00636E35" w:rsidP="00636E35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19919C35" w14:textId="77777777" w:rsidR="00636E35" w:rsidRDefault="00636E35" w:rsidP="00EF3C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1. Съгласно т.14.1.</w:t>
      </w:r>
      <w:r w:rsidR="00033D2F" w:rsidRPr="0046663D">
        <w:rPr>
          <w:lang w:val="bg-BG"/>
        </w:rPr>
        <w:t xml:space="preserve"> </w:t>
      </w:r>
      <w:r w:rsidRPr="00636E3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Условия за допустимост на разходите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Условията за кандидатстване „</w:t>
      </w:r>
      <w:r w:rsidRPr="001C567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За да бъдат допустими разходите по настоящата процедура за предоставяне на безвъзмездна финансова помощ трябва да отговарят едновременно на следните условия</w:t>
      </w:r>
      <w:r w:rsidRPr="00636E3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…..</w:t>
      </w:r>
    </w:p>
    <w:p w14:paraId="0222668A" w14:textId="77777777" w:rsidR="00636E35" w:rsidRDefault="00636E35" w:rsidP="00636E35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1C567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2) </w:t>
      </w:r>
      <w:r w:rsidRPr="000A2FA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Да бъдат извършени след датата на подписване на административния договор</w:t>
      </w:r>
      <w:r w:rsidRPr="001C567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за предоставяне на безвъзмездната финансова помощ и до изтичане на срока за изпълнение на проекта и да са за дейности, които не са физически завършени или изцяло осъществени </w:t>
      </w:r>
      <w:r w:rsidRPr="001C567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lastRenderedPageBreak/>
        <w:t>преди подаването на формуляра за кандидатстване от бенефициента, независимо дали всички свързани плащания са извършени от него;</w:t>
      </w:r>
    </w:p>
    <w:p w14:paraId="7CC461F8" w14:textId="77777777" w:rsidR="00636E35" w:rsidRDefault="00636E35" w:rsidP="00636E35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636E35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3) Да са в съответствие с категориите разходи, включени в административния договор за предоставяне на безвъзмездна помощ, както и в съответствие с одобреното проектно предложение и изискванията на настоящите Условия за кандидатстване (чл. 57, ал. 1, т. 2 от ЗУСЕСИФ);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“</w:t>
      </w:r>
    </w:p>
    <w:p w14:paraId="14EF5CE3" w14:textId="77777777" w:rsidR="00636E35" w:rsidRDefault="00636E35" w:rsidP="00636E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C567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тази</w:t>
      </w:r>
      <w:r w:rsidRPr="00636E3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връзка предварителни разходи з</w:t>
      </w:r>
      <w:r w:rsidRPr="001C567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1C567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подготовка на проектно предложе</w:t>
      </w:r>
      <w:r w:rsidRPr="00D50D4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 w:rsidRPr="001C567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ие, вкл. изброените от Вас не са допустими.</w:t>
      </w:r>
    </w:p>
    <w:p w14:paraId="3DCB2956" w14:textId="133C8A3E" w:rsidR="001C1C33" w:rsidRDefault="00636E35" w:rsidP="00DA57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2.</w:t>
      </w:r>
      <w:r w:rsidR="001C1C3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571B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Съгласно т.14.2 </w:t>
      </w:r>
      <w:r w:rsidR="008733F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</w:t>
      </w:r>
      <w:r w:rsidR="00571B8A" w:rsidRPr="00571B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Допустими разходи</w:t>
      </w:r>
      <w:r w:rsidR="008733F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”</w:t>
      </w:r>
      <w:r w:rsidR="00571B8A" w:rsidRPr="00571B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Условията за кандидатстване</w:t>
      </w:r>
      <w:r w:rsidR="00571B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8733F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настоящата процедура са допустими единствено </w:t>
      </w:r>
      <w:r w:rsidR="00571B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разходи под форма</w:t>
      </w:r>
      <w:r w:rsidR="008733F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та</w:t>
      </w:r>
      <w:r w:rsidR="00571B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стандартна таблица на разходи за единица продукт за преките разходи (чл.55, ал.1, т.2 от ЗУСЕСИФ) и единна ставка за непреките разходи </w:t>
      </w:r>
      <w:r w:rsidR="00571B8A" w:rsidRPr="00571B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(чл.55, ал.1, т.</w:t>
      </w:r>
      <w:r w:rsidR="00571B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4</w:t>
      </w:r>
      <w:r w:rsidR="00571B8A" w:rsidRPr="00571B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ЗУСЕСИФ)</w:t>
      </w:r>
      <w:r w:rsidR="00DA579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571B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1C1C3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както следва:</w:t>
      </w:r>
    </w:p>
    <w:p w14:paraId="35FD9CE9" w14:textId="77777777" w:rsidR="001C1C33" w:rsidRPr="001C1C33" w:rsidRDefault="001C1C33" w:rsidP="001C1C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C1C3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I. СТАНДАРТНА ТАБЛИЦА НА РАЗХОДИТЕ ЗА ЕДИНИЦА ПРОДУКТ</w:t>
      </w:r>
    </w:p>
    <w:p w14:paraId="5D797A39" w14:textId="77777777" w:rsidR="001C1C33" w:rsidRPr="00117CAC" w:rsidRDefault="001C1C33" w:rsidP="00117CA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17C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Разходи за идентифициране на лица от целевата група</w:t>
      </w:r>
    </w:p>
    <w:p w14:paraId="1852C5E9" w14:textId="77777777" w:rsidR="001C1C33" w:rsidRDefault="001C1C33" w:rsidP="00117CA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17C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Разходи за мотивиране на лица от целевата група и включването им в Дейност 2 или Дейност 3</w:t>
      </w:r>
    </w:p>
    <w:p w14:paraId="3A7F3005" w14:textId="77777777" w:rsidR="001C1C33" w:rsidRDefault="001C1C33" w:rsidP="00117CA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C1C3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Разходи за провеждане на курсове за ограмотяване</w:t>
      </w:r>
    </w:p>
    <w:p w14:paraId="3C620862" w14:textId="77777777" w:rsidR="001C1C33" w:rsidRDefault="001C1C33" w:rsidP="00117CA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C1C3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Разходи за провеждане на курсове за придобиване на компетентности от прогимназиалния етап</w:t>
      </w:r>
    </w:p>
    <w:p w14:paraId="17E865E8" w14:textId="77777777" w:rsidR="001C1C33" w:rsidRDefault="001C1C33" w:rsidP="00117CA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C1C3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Разходи за стипендии за участие</w:t>
      </w:r>
    </w:p>
    <w:p w14:paraId="499A21A3" w14:textId="77777777" w:rsidR="001C1C33" w:rsidRDefault="001C1C33" w:rsidP="00117CA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C1C3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Разходи за провеждане на изпити</w:t>
      </w:r>
    </w:p>
    <w:p w14:paraId="3909586F" w14:textId="77777777" w:rsidR="001C1C33" w:rsidRDefault="001C1C33" w:rsidP="00117CA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C1C3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Разходи за стипендии за успех</w:t>
      </w:r>
    </w:p>
    <w:p w14:paraId="36927B95" w14:textId="77777777" w:rsidR="001C1C33" w:rsidRPr="00117CAC" w:rsidRDefault="001C1C33" w:rsidP="00117CA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C1C3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Разходи за подпомагане на прехода от образование към реализация на пазара на труда</w:t>
      </w:r>
    </w:p>
    <w:p w14:paraId="2C9BD421" w14:textId="77777777" w:rsidR="001C1C33" w:rsidRDefault="001C1C33" w:rsidP="00DA57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C1C3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II. ЕДИННА СТАВКА – НЕПРЕКИ РАЗХОДИ</w:t>
      </w:r>
    </w:p>
    <w:p w14:paraId="7125B706" w14:textId="77777777" w:rsidR="0054599E" w:rsidRDefault="00A645CB" w:rsidP="00DA57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т.14.2 подробно са описани допустимите категории разходи и бюджетни пера, включително и планиране на разходите в секция 5. Бюджет от Формуляра за кандидатстване. В </w:t>
      </w:r>
      <w:r w:rsidRPr="00117CA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Приложение XIV</w:t>
      </w:r>
      <w:r w:rsidR="00033D2F" w:rsidRPr="0046663D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Pr="00117CA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Стандартна таблица на разходите за единица продукт по процедура BG05M2OP001-3.020 „Ограмотяване на възрастни - 2“ и методология, обосноваваща изведените размери на разходите</w:t>
      </w:r>
      <w:r w:rsidRPr="00DA579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подробно е описана методологията </w:t>
      </w:r>
      <w:r w:rsidR="00117C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как 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определ</w:t>
      </w:r>
      <w:r w:rsidR="00117C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ен съответният единичен разход,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117C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Помощна таблица за планиране на ПП е дадена инструкция за </w:t>
      </w:r>
      <w:r w:rsidR="00117C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формиране на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117C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005B5F" w:rsidRPr="006B31D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</w:t>
      </w:r>
      <w:r w:rsidR="00033D2F" w:rsidRPr="0046663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енефициентът може да поиска за възстановяване от УО </w:t>
      </w:r>
      <w:r w:rsidR="00005B5F" w:rsidRPr="000A2FA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съответната </w:t>
      </w:r>
      <w:r w:rsidR="00033D2F" w:rsidRPr="0046663D">
        <w:rPr>
          <w:rFonts w:ascii="Times New Roman" w:eastAsia="Calibri" w:hAnsi="Times New Roman" w:cs="Times New Roman"/>
          <w:sz w:val="24"/>
          <w:szCs w:val="24"/>
          <w:lang w:val="bg-BG"/>
        </w:rPr>
        <w:t>сума</w:t>
      </w:r>
      <w:r w:rsidR="00005B5F" w:rsidRPr="000A2FA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3D2F" w:rsidRPr="0046663D">
        <w:rPr>
          <w:rFonts w:ascii="Times New Roman" w:eastAsia="Calibri" w:hAnsi="Times New Roman" w:cs="Times New Roman"/>
          <w:sz w:val="24"/>
          <w:szCs w:val="24"/>
          <w:lang w:val="bg-BG"/>
        </w:rPr>
        <w:t>за всяко лице от целевата група</w:t>
      </w:r>
      <w:r w:rsidR="00005B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както е описано в </w:t>
      </w:r>
      <w:r w:rsidR="00005B5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т.14.2 от УК и в Приложение </w:t>
      </w:r>
      <w:r w:rsidR="00005B5F" w:rsidRPr="000A2FA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XIV</w:t>
      </w:r>
      <w:r w:rsidR="006B31D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p w14:paraId="4EEB547E" w14:textId="77777777" w:rsidR="008733FF" w:rsidRDefault="00A645CB" w:rsidP="00DA57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r w:rsidR="00DA5791" w:rsidRPr="00117CA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Приложение </w:t>
      </w:r>
      <w:r w:rsidR="00DA5791" w:rsidRPr="00117C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XV</w:t>
      </w:r>
      <w:r w:rsidR="00DA5791" w:rsidRPr="00117CA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- Методика за определяне на единна ставка за финансиране на дейностите за организация и управление при процедури за конкурентен подбор и директно предоставяне по приоритетни оси 2, 3 и 5 на ОП НОИР</w:t>
      </w:r>
      <w:r w:rsidR="00033D2F" w:rsidRPr="0046663D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DA5791" w:rsidRPr="00117CA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чрез прилагане на Националната методология,</w:t>
      </w:r>
      <w:r w:rsidR="00033D2F" w:rsidRPr="0046663D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DA5791" w:rsidRPr="00117CA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приета с Решение на МС № 253 от 3 май 2017 г. </w:t>
      </w:r>
      <w:r w:rsidR="00571B8A" w:rsidRPr="00117CA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към </w:t>
      </w:r>
      <w:r w:rsidR="00DA5791" w:rsidRPr="00117CA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У</w:t>
      </w:r>
      <w:r w:rsidR="00571B8A" w:rsidRPr="00117CA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словията за </w:t>
      </w:r>
      <w:r w:rsidR="00571B8A" w:rsidRPr="00117CA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lastRenderedPageBreak/>
        <w:t>кандидатстване</w:t>
      </w:r>
      <w:r w:rsidR="00117C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детайлно е описана методологията за определяне на единната ставка за непреките разходи</w:t>
      </w:r>
      <w:r w:rsidR="00571B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1C1C3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AE37A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35155498" w14:textId="550B1079" w:rsidR="008733FF" w:rsidRPr="00DA5791" w:rsidRDefault="008733FF" w:rsidP="008733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 планиране на разходите за изпълнение на всички преки дейности - Дейност 1, Дейност 2, Дейност 3 и Дейност 4, посочени в т. 13 от Условията за кандидатстване, е допустимо да се прилагат единствено единични</w:t>
      </w:r>
      <w:r w:rsidR="00C91B3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разходи</w:t>
      </w:r>
      <w:r w:rsidR="0040463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относими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към конкретните проектни дейности и</w:t>
      </w:r>
      <w:r w:rsidR="00E2216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посочени в т. 14.2 от Условията за кандидатстване. Залагането на разходи за изпълнение на допустимите преки дейности, чиято стойност е формирана въз основа на разходи, различни по вид и размер (стойност) от единичните разходи, определени</w:t>
      </w:r>
      <w:r w:rsidR="00E2216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всяка от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дейности</w:t>
      </w:r>
      <w:r w:rsidR="00E2216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изрично посочени в т. 14.2 от Условията за кандидатстване, не е допустимо по настоящата процедура. </w:t>
      </w:r>
    </w:p>
    <w:p w14:paraId="0E5B1780" w14:textId="77777777" w:rsidR="00636E35" w:rsidRPr="008733FF" w:rsidRDefault="00636E35" w:rsidP="0046663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</w:p>
    <w:sectPr w:rsidR="00636E35" w:rsidRPr="008733FF" w:rsidSect="00C93C80">
      <w:headerReference w:type="default" r:id="rId11"/>
      <w:footerReference w:type="default" r:id="rId12"/>
      <w:pgSz w:w="12240" w:h="15840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02924" w14:textId="77777777" w:rsidR="00C76A73" w:rsidRDefault="00C76A73" w:rsidP="002F1D11">
      <w:pPr>
        <w:spacing w:after="0" w:line="240" w:lineRule="auto"/>
      </w:pPr>
      <w:r>
        <w:separator/>
      </w:r>
    </w:p>
  </w:endnote>
  <w:endnote w:type="continuationSeparator" w:id="0">
    <w:p w14:paraId="5CB299F8" w14:textId="77777777" w:rsidR="00C76A73" w:rsidRDefault="00C76A73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3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27B77" w14:textId="7F67F3C9" w:rsidR="00C93C80" w:rsidRDefault="00033D2F">
        <w:pPr>
          <w:pStyle w:val="Footer"/>
          <w:jc w:val="right"/>
        </w:pPr>
        <w:r>
          <w:fldChar w:fldCharType="begin"/>
        </w:r>
        <w:r w:rsidR="00C93C80">
          <w:instrText xml:space="preserve"> PAGE   \* MERGEFORMAT </w:instrText>
        </w:r>
        <w:r>
          <w:fldChar w:fldCharType="separate"/>
        </w:r>
        <w:r w:rsidR="00DB532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8E752FB" w14:textId="77777777" w:rsidR="00C93C80" w:rsidRDefault="00C93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AA8CA" w14:textId="77777777" w:rsidR="00C76A73" w:rsidRDefault="00C76A73" w:rsidP="002F1D11">
      <w:pPr>
        <w:spacing w:after="0" w:line="240" w:lineRule="auto"/>
      </w:pPr>
      <w:r>
        <w:separator/>
      </w:r>
    </w:p>
  </w:footnote>
  <w:footnote w:type="continuationSeparator" w:id="0">
    <w:p w14:paraId="7E094F95" w14:textId="77777777" w:rsidR="00C76A73" w:rsidRDefault="00C76A73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7B59" w14:textId="77777777" w:rsidR="008874F5" w:rsidRDefault="00DD2CD5">
    <w:pPr>
      <w:pStyle w:val="Header"/>
    </w:pPr>
    <w:r w:rsidRPr="00DD2CD5">
      <w:rPr>
        <w:rFonts w:ascii="Calibri" w:eastAsia="Calibri" w:hAnsi="Calibri" w:cs="Times New Roman"/>
        <w:b/>
        <w:noProof/>
        <w:sz w:val="40"/>
        <w:szCs w:val="40"/>
      </w:rPr>
      <w:drawing>
        <wp:inline distT="0" distB="0" distL="0" distR="0" wp14:anchorId="4CE7C3F1" wp14:editId="7254D6C7">
          <wp:extent cx="1952625" cy="5810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4F5">
      <w:rPr>
        <w:b/>
        <w:noProof/>
        <w:sz w:val="40"/>
        <w:szCs w:val="40"/>
      </w:rPr>
      <w:t xml:space="preserve">                               </w:t>
    </w:r>
    <w:r w:rsidR="008874F5" w:rsidRPr="00185DDE">
      <w:rPr>
        <w:rFonts w:ascii="Calibri" w:eastAsia="Calibri" w:hAnsi="Calibri"/>
        <w:b/>
        <w:noProof/>
        <w:sz w:val="40"/>
        <w:szCs w:val="40"/>
      </w:rPr>
      <w:drawing>
        <wp:inline distT="0" distB="0" distL="0" distR="0" wp14:anchorId="3BC09584" wp14:editId="6634C14B">
          <wp:extent cx="1809750" cy="581025"/>
          <wp:effectExtent l="0" t="0" r="0" b="9525"/>
          <wp:docPr id="6" name="Picture 3" descr="C:\Users\a.radeva\Desktop\GDSFMOP\LOGA\OP_nau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radeva\Desktop\GDSFMOP\LOGA\OP_nauk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7D79A" w14:textId="77777777" w:rsidR="002F1D11" w:rsidRPr="009A5C05" w:rsidRDefault="002F1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34E1"/>
    <w:multiLevelType w:val="hybridMultilevel"/>
    <w:tmpl w:val="D318FB32"/>
    <w:lvl w:ilvl="0" w:tplc="6A64EF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7308E"/>
    <w:multiLevelType w:val="hybridMultilevel"/>
    <w:tmpl w:val="1C4ACC0C"/>
    <w:lvl w:ilvl="0" w:tplc="92ECD8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05B5F"/>
    <w:rsid w:val="000212EC"/>
    <w:rsid w:val="00033D2F"/>
    <w:rsid w:val="000363A0"/>
    <w:rsid w:val="0006428B"/>
    <w:rsid w:val="000677AC"/>
    <w:rsid w:val="00080725"/>
    <w:rsid w:val="00084222"/>
    <w:rsid w:val="00097E83"/>
    <w:rsid w:val="000A1D3D"/>
    <w:rsid w:val="000A2FA5"/>
    <w:rsid w:val="000A645C"/>
    <w:rsid w:val="000C70BE"/>
    <w:rsid w:val="000D70FD"/>
    <w:rsid w:val="000E60DC"/>
    <w:rsid w:val="000F69B4"/>
    <w:rsid w:val="00114C17"/>
    <w:rsid w:val="001161CB"/>
    <w:rsid w:val="0011666D"/>
    <w:rsid w:val="00117CAC"/>
    <w:rsid w:val="001570E1"/>
    <w:rsid w:val="00162C9E"/>
    <w:rsid w:val="0016665E"/>
    <w:rsid w:val="0018591A"/>
    <w:rsid w:val="00196EC7"/>
    <w:rsid w:val="001B631D"/>
    <w:rsid w:val="001C1C33"/>
    <w:rsid w:val="001C245D"/>
    <w:rsid w:val="001C40FA"/>
    <w:rsid w:val="001C4B4A"/>
    <w:rsid w:val="001C567B"/>
    <w:rsid w:val="001E3D45"/>
    <w:rsid w:val="001E3D99"/>
    <w:rsid w:val="001F347D"/>
    <w:rsid w:val="001F3546"/>
    <w:rsid w:val="0020787F"/>
    <w:rsid w:val="00212583"/>
    <w:rsid w:val="00215FE0"/>
    <w:rsid w:val="0024002C"/>
    <w:rsid w:val="00255D9E"/>
    <w:rsid w:val="00276924"/>
    <w:rsid w:val="00281648"/>
    <w:rsid w:val="002839B2"/>
    <w:rsid w:val="002A206D"/>
    <w:rsid w:val="002A5B68"/>
    <w:rsid w:val="002B7A38"/>
    <w:rsid w:val="002E2407"/>
    <w:rsid w:val="002E2FE9"/>
    <w:rsid w:val="002E6EAF"/>
    <w:rsid w:val="002F1D11"/>
    <w:rsid w:val="00300E40"/>
    <w:rsid w:val="003034EC"/>
    <w:rsid w:val="0030354C"/>
    <w:rsid w:val="003277CB"/>
    <w:rsid w:val="00343E12"/>
    <w:rsid w:val="003510B4"/>
    <w:rsid w:val="00354476"/>
    <w:rsid w:val="00361325"/>
    <w:rsid w:val="00363E74"/>
    <w:rsid w:val="00372ACC"/>
    <w:rsid w:val="003B0F29"/>
    <w:rsid w:val="003B7F5B"/>
    <w:rsid w:val="003C0C67"/>
    <w:rsid w:val="003C6A2F"/>
    <w:rsid w:val="003E2E4D"/>
    <w:rsid w:val="00404635"/>
    <w:rsid w:val="004077AC"/>
    <w:rsid w:val="00431D37"/>
    <w:rsid w:val="00433FB0"/>
    <w:rsid w:val="00450CF9"/>
    <w:rsid w:val="0046663D"/>
    <w:rsid w:val="004678F4"/>
    <w:rsid w:val="00485764"/>
    <w:rsid w:val="004A0BEA"/>
    <w:rsid w:val="004A44A5"/>
    <w:rsid w:val="004A5A79"/>
    <w:rsid w:val="004B4A07"/>
    <w:rsid w:val="004B74F2"/>
    <w:rsid w:val="004C2F53"/>
    <w:rsid w:val="004C4768"/>
    <w:rsid w:val="004C6A41"/>
    <w:rsid w:val="004D1712"/>
    <w:rsid w:val="004E002D"/>
    <w:rsid w:val="005250D9"/>
    <w:rsid w:val="005263AA"/>
    <w:rsid w:val="0054070B"/>
    <w:rsid w:val="0054599E"/>
    <w:rsid w:val="00546DAC"/>
    <w:rsid w:val="00563CB4"/>
    <w:rsid w:val="00571B8A"/>
    <w:rsid w:val="005727CB"/>
    <w:rsid w:val="005746F5"/>
    <w:rsid w:val="00592F40"/>
    <w:rsid w:val="005A1B5B"/>
    <w:rsid w:val="005E17A9"/>
    <w:rsid w:val="005F1734"/>
    <w:rsid w:val="00603959"/>
    <w:rsid w:val="0061737A"/>
    <w:rsid w:val="006177F1"/>
    <w:rsid w:val="006244B0"/>
    <w:rsid w:val="00626AA3"/>
    <w:rsid w:val="00627C95"/>
    <w:rsid w:val="00636E35"/>
    <w:rsid w:val="00657C40"/>
    <w:rsid w:val="00670542"/>
    <w:rsid w:val="00687ACB"/>
    <w:rsid w:val="006B31DF"/>
    <w:rsid w:val="006C61A5"/>
    <w:rsid w:val="006D4E05"/>
    <w:rsid w:val="006F35C3"/>
    <w:rsid w:val="00702E6D"/>
    <w:rsid w:val="00720AB1"/>
    <w:rsid w:val="00757CDC"/>
    <w:rsid w:val="00757F1B"/>
    <w:rsid w:val="00761220"/>
    <w:rsid w:val="00766526"/>
    <w:rsid w:val="00781F19"/>
    <w:rsid w:val="007B3BF6"/>
    <w:rsid w:val="007B78A1"/>
    <w:rsid w:val="007C5CFF"/>
    <w:rsid w:val="007D1F9A"/>
    <w:rsid w:val="007F3839"/>
    <w:rsid w:val="0081162C"/>
    <w:rsid w:val="0081288A"/>
    <w:rsid w:val="0082162A"/>
    <w:rsid w:val="008237DC"/>
    <w:rsid w:val="00835E12"/>
    <w:rsid w:val="00840A4A"/>
    <w:rsid w:val="00842622"/>
    <w:rsid w:val="008446E1"/>
    <w:rsid w:val="00847FB5"/>
    <w:rsid w:val="00852B1D"/>
    <w:rsid w:val="00870539"/>
    <w:rsid w:val="008733FF"/>
    <w:rsid w:val="008874F5"/>
    <w:rsid w:val="00892639"/>
    <w:rsid w:val="008A1F47"/>
    <w:rsid w:val="008B2389"/>
    <w:rsid w:val="008C3A0C"/>
    <w:rsid w:val="009005DC"/>
    <w:rsid w:val="00952AD0"/>
    <w:rsid w:val="00967AA7"/>
    <w:rsid w:val="00971B79"/>
    <w:rsid w:val="009728DB"/>
    <w:rsid w:val="00994D84"/>
    <w:rsid w:val="009A5C05"/>
    <w:rsid w:val="009C3517"/>
    <w:rsid w:val="009C7E75"/>
    <w:rsid w:val="009E20D6"/>
    <w:rsid w:val="009E3183"/>
    <w:rsid w:val="009E4E03"/>
    <w:rsid w:val="00A37BB3"/>
    <w:rsid w:val="00A44328"/>
    <w:rsid w:val="00A54806"/>
    <w:rsid w:val="00A60B5E"/>
    <w:rsid w:val="00A637DC"/>
    <w:rsid w:val="00A6446B"/>
    <w:rsid w:val="00A645CB"/>
    <w:rsid w:val="00A8782E"/>
    <w:rsid w:val="00A9606E"/>
    <w:rsid w:val="00A974B9"/>
    <w:rsid w:val="00AE1AD3"/>
    <w:rsid w:val="00AE37A1"/>
    <w:rsid w:val="00AF1114"/>
    <w:rsid w:val="00AF72CB"/>
    <w:rsid w:val="00B13A9F"/>
    <w:rsid w:val="00B13BE9"/>
    <w:rsid w:val="00B208DC"/>
    <w:rsid w:val="00B21105"/>
    <w:rsid w:val="00B26317"/>
    <w:rsid w:val="00B26D88"/>
    <w:rsid w:val="00B30DE3"/>
    <w:rsid w:val="00B4013A"/>
    <w:rsid w:val="00B42974"/>
    <w:rsid w:val="00B51637"/>
    <w:rsid w:val="00B5643E"/>
    <w:rsid w:val="00B77B74"/>
    <w:rsid w:val="00B80DEE"/>
    <w:rsid w:val="00B84CDD"/>
    <w:rsid w:val="00B904E2"/>
    <w:rsid w:val="00B92E6A"/>
    <w:rsid w:val="00B9323D"/>
    <w:rsid w:val="00BB2990"/>
    <w:rsid w:val="00BB742C"/>
    <w:rsid w:val="00BD7A2F"/>
    <w:rsid w:val="00BF4A6E"/>
    <w:rsid w:val="00C070F4"/>
    <w:rsid w:val="00C108E6"/>
    <w:rsid w:val="00C34C9E"/>
    <w:rsid w:val="00C41B2C"/>
    <w:rsid w:val="00C44C46"/>
    <w:rsid w:val="00C72122"/>
    <w:rsid w:val="00C76A73"/>
    <w:rsid w:val="00C91B34"/>
    <w:rsid w:val="00C93C80"/>
    <w:rsid w:val="00C942B5"/>
    <w:rsid w:val="00CB63CD"/>
    <w:rsid w:val="00CD20DD"/>
    <w:rsid w:val="00CD6F8C"/>
    <w:rsid w:val="00CF065C"/>
    <w:rsid w:val="00CF3452"/>
    <w:rsid w:val="00CF4C44"/>
    <w:rsid w:val="00CF5E78"/>
    <w:rsid w:val="00D03B68"/>
    <w:rsid w:val="00D12CA5"/>
    <w:rsid w:val="00D17CF1"/>
    <w:rsid w:val="00D20C09"/>
    <w:rsid w:val="00D300EE"/>
    <w:rsid w:val="00D31AE8"/>
    <w:rsid w:val="00D53B25"/>
    <w:rsid w:val="00D91E49"/>
    <w:rsid w:val="00D96D2F"/>
    <w:rsid w:val="00DA5791"/>
    <w:rsid w:val="00DA78B7"/>
    <w:rsid w:val="00DB532C"/>
    <w:rsid w:val="00DD2CD5"/>
    <w:rsid w:val="00E023BC"/>
    <w:rsid w:val="00E2216A"/>
    <w:rsid w:val="00E30A5E"/>
    <w:rsid w:val="00E434A9"/>
    <w:rsid w:val="00E56335"/>
    <w:rsid w:val="00E7127C"/>
    <w:rsid w:val="00E71C3D"/>
    <w:rsid w:val="00E7267A"/>
    <w:rsid w:val="00E96DB0"/>
    <w:rsid w:val="00EB300A"/>
    <w:rsid w:val="00EB4126"/>
    <w:rsid w:val="00ED534D"/>
    <w:rsid w:val="00EE2B0E"/>
    <w:rsid w:val="00EF085B"/>
    <w:rsid w:val="00EF3C5C"/>
    <w:rsid w:val="00F0768C"/>
    <w:rsid w:val="00F2523C"/>
    <w:rsid w:val="00F30FCB"/>
    <w:rsid w:val="00F31209"/>
    <w:rsid w:val="00F37280"/>
    <w:rsid w:val="00F4235C"/>
    <w:rsid w:val="00F42F77"/>
    <w:rsid w:val="00F50AC5"/>
    <w:rsid w:val="00F514F6"/>
    <w:rsid w:val="00F63966"/>
    <w:rsid w:val="00F72251"/>
    <w:rsid w:val="00F75674"/>
    <w:rsid w:val="00F81A71"/>
    <w:rsid w:val="00F8418E"/>
    <w:rsid w:val="00F90762"/>
    <w:rsid w:val="00F90BFE"/>
    <w:rsid w:val="00F972F0"/>
    <w:rsid w:val="00FB7635"/>
    <w:rsid w:val="00FD7200"/>
    <w:rsid w:val="00FE7AD7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61773"/>
  <w15:docId w15:val="{FB1208EA-0851-4BE7-B580-11985136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3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basedOn w:val="Normal"/>
    <w:uiPriority w:val="34"/>
    <w:qFormat/>
    <w:rsid w:val="000F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on.bg/bg/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f.mon.bg/?go=page&amp;pageId=43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vr6EOB7Eezyt+tzT5SGte+8kHdFrcKJF7gvLMe2R6TQ=</DigestValue>
    </Reference>
    <Reference Type="http://www.w3.org/2000/09/xmldsig#Object" URI="#idOfficeObject">
      <DigestMethod Algorithm="http://www.w3.org/2001/04/xmlenc#sha256"/>
      <DigestValue>LLKUyDAFKk+i70a3DC1fICWzvNjMBNWfSlPzwYz77Os=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wPuw8GtODmu78a/SHJg70lxgWKSJSRGCo6SMGQD7+tw=</DigestValue>
    </Reference>
    <Reference Type="http://www.w3.org/2000/09/xmldsig#Object" URI="#idValidSigLnImg">
      <DigestMethod Algorithm="http://www.w3.org/2001/04/xmlenc#sha256"/>
      <DigestValue>YN0kLr20ueSLS7CR7HUD+91CC99ellDunrlafscwrlg=</DigestValue>
    </Reference>
    <Reference Type="http://www.w3.org/2000/09/xmldsig#Object" URI="#idInvalidSigLnImg">
      <DigestMethod Algorithm="http://www.w3.org/2001/04/xmlenc#sha256"/>
      <DigestValue>x+/ReRCcAh1CtYALjbAL+UWSjHu/5LD+9UuV9lG7J6M=</DigestValue>
    </Reference>
  </SignedInfo>
  <SignatureValue>IUTvDDU4Ptl36uAq8mu88olzvwNijn8fybyRWfKoeTNzWFVR7tzbWTpHIvTEhfzdZm+KBk7yxXCD
3w/rQM+VR3qvpUpoFx0j3xE+6Pao03taUVlf/j0cPIBajwMi5+Y89pPyeo05IFLPwsjNdjPizKeK
WV0s7vvJQhOQ0KNM1/fUEVFqAz803vvF0ZS8Fdc57yjgfIiclP+3eYkZDts/5LHrLgNAVoCZJtUW
W06GYzOWe4L7hdAmBaZvSow+vwN9L0B8Z5jQ7QtaYf9ZruXgheJQbrXEMb39wVhSr0TME4xoMLFK
oSTAXOpeS4wJCc0bEiOkS27vVaIws2VsEWmzZg==</SignatureValue>
  <KeyInfo>
    <X509Data>
      <X509Certificate>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v3w2dmSzPd44v2v8VOSjtAvb1CKpX0PBNIOdzIPPv4U=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XfFRFGVdzmAqKSV/h81K9r68vvhfS9JfaOYU2tSgjI4=</DigestValue>
      </Reference>
      <Reference URI="/word/document.xml?ContentType=application/vnd.openxmlformats-officedocument.wordprocessingml.document.main+xml">
        <DigestMethod Algorithm="http://www.w3.org/2001/04/xmlenc#sha256"/>
        <DigestValue>NaJYJB5IGXF828y4XEiZd6qO2bWXSTbnH/av2bVBhyY=</DigestValue>
      </Reference>
      <Reference URI="/word/endnotes.xml?ContentType=application/vnd.openxmlformats-officedocument.wordprocessingml.endnotes+xml">
        <DigestMethod Algorithm="http://www.w3.org/2001/04/xmlenc#sha256"/>
        <DigestValue>UkDZdyWBXTTJcZEmmCi+djTQpzctg3AqNFREf4wYVM0=</DigestValue>
      </Reference>
      <Reference URI="/word/fontTable.xml?ContentType=application/vnd.openxmlformats-officedocument.wordprocessingml.fontTable+xml">
        <DigestMethod Algorithm="http://www.w3.org/2001/04/xmlenc#sha256"/>
        <DigestValue>uOhtU6/cKefv3HnqMQ1ukS0a8TIGfoboxP1LOKZ9qZc=</DigestValue>
      </Reference>
      <Reference URI="/word/footer1.xml?ContentType=application/vnd.openxmlformats-officedocument.wordprocessingml.footer+xml">
        <DigestMethod Algorithm="http://www.w3.org/2001/04/xmlenc#sha256"/>
        <DigestValue>JEUu/kdOofSnGY8a8so6PKUaguj2yoobGNVH+D2ip2Y=</DigestValue>
      </Reference>
      <Reference URI="/word/footnotes.xml?ContentType=application/vnd.openxmlformats-officedocument.wordprocessingml.footnotes+xml">
        <DigestMethod Algorithm="http://www.w3.org/2001/04/xmlenc#sha256"/>
        <DigestValue>ZqErfNkRin4Comu0ElI+P5U/YT5/zbJvj0GesvLKT84=</DigestValue>
      </Reference>
      <Reference URI="/word/header1.xml?ContentType=application/vnd.openxmlformats-officedocument.wordprocessingml.header+xml">
        <DigestMethod Algorithm="http://www.w3.org/2001/04/xmlenc#sha256"/>
        <DigestValue>lTi8is8sXIW3luM6LNjvnmjwPztiJwmyRClVcVFJ+s8=</DigestValue>
      </Reference>
      <Reference URI="/word/media/image1.emf?ContentType=image/x-emf">
        <DigestMethod Algorithm="http://www.w3.org/2001/04/xmlenc#sha256"/>
        <DigestValue>/2CfwV1w8GvmGHXzUwNd2z3Mcna+yrBH9dOESEQMKXM=</DigestValue>
      </Reference>
      <Reference URI="/word/media/image2.png?ContentType=image/png">
        <DigestMethod Algorithm="http://www.w3.org/2001/04/xmlenc#sha256"/>
        <DigestValue>o6vtEbqJzuaPyVgS84IMShlsrWQYgizrnV8HGdvxtVI=</DigestValue>
      </Reference>
      <Reference URI="/word/media/image3.jpeg?ContentType=image/jpeg">
        <DigestMethod Algorithm="http://www.w3.org/2001/04/xmlenc#sha256"/>
        <DigestValue>UkH7nrOXatfdudgg221NIKverOFmtp50vZxJ2F2d+pE=</DigestValue>
      </Reference>
      <Reference URI="/word/numbering.xml?ContentType=application/vnd.openxmlformats-officedocument.wordprocessingml.numbering+xml">
        <DigestMethod Algorithm="http://www.w3.org/2001/04/xmlenc#sha256"/>
        <DigestValue>S4pBXkJ7lv2eZ2GNxZs66wRilmQOUtLGYnzpvYrYaWA=</DigestValue>
      </Reference>
      <Reference URI="/word/settings.xml?ContentType=application/vnd.openxmlformats-officedocument.wordprocessingml.settings+xml">
        <DigestMethod Algorithm="http://www.w3.org/2001/04/xmlenc#sha256"/>
        <DigestValue>aFhG3CexTsV259W+xUmeD0z75oBXtfTrpIL/KPfJQPs=</DigestValue>
      </Reference>
      <Reference URI="/word/styles.xml?ContentType=application/vnd.openxmlformats-officedocument.wordprocessingml.styles+xml">
        <DigestMethod Algorithm="http://www.w3.org/2001/04/xmlenc#sha256"/>
        <DigestValue>uI89YlQ++3PkdnYgaos4nfXRBLNqR/qhG7qST5W7Cxw=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YPp0Vk1BbdIX11Bpc3bbvUhs2NZgS33FhuDJwVNUFYI=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2021-02-09T12:44:58Z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{E53237E9-3298-427B-B701-1454CAE3B75B}</SetupID>
          <SignatureText>УТВЪРЖДАВАМ: е-подпис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2021-02-09T12:44:58Z</xd:SigningTime>
          <xd:SigningCertificate>
            <xd:Cert>
              <xd:CertDigest>
                <DigestMethod Algorithm="http://www.w3.org/2001/04/xmlenc#sha256"/>
                <DigestValue>4ps1OLTKbY0d4CV23f7jwozdMrwDFbjMGNSiS1HfQ/4=</DigestValue>
              </xd:CertDigest>
              <xd:IssuerSerial>
                <X509IssuerName>C=BG, L=Sofia, O=Information Services JSC, OID.2.5.4.97=NTRBG-831641791, CN=StampIT Global Qualified CA</X509IssuerName>
                <X509SerialNumber>3283572459908736446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PBwAAKo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DZ3iO3PAPJNNne4WhgBCQAAAAxONncEAAAASGsYAQAAAAC4WhgBuFoYATJL/HIAAAAADEjScgkAAAAAAAAAAAAAAAAAAAAAAAAA+PcXAQAAAAAAAAAAAAAAAAAAAAAAAAAAAAAAAAAAAAAAAAAAAAAAAAAAAAAAAAAAAAAAAAAAAAAAAAAAAAAAAE4QOXfU4UJe4O7PACgRMne4WhgBDEjScgAAAAA4EjJ3//8AAAAAAAAbEzJ3GxMydxDvzwAAAM8ABwAAAAAAAABhhu52CQAAAAcAAABA788AQO/PAAACAAD8////AQAAAAAAAAAAAAAAAAAAAAAAAADgxBh3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gAAAAKAAAAUAAAAGMAAABcAAAAAQAAAAAAyEEAAMhBCgAAAFAAAAAPAAAATAAAAAAAAAAAAAAAAAAAAP//////////bAAAABoEOARABDgEOwQgABMENQRABDAEQgQ7BDgENQQyBGUABgAAAAcAAAAHAAAABwAAAAYAAAADAAAABQAAAAYAAAAHAAAABgAAAAU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ygAAAGwAAAABAAAAAADIQQAAyEEKAAAAYAAAACEAAABMAAAAAAAAAAAAAAAAAAAA//////////+QAAAAGAQ3BD8ELgAgADQEOARABDUEOgRCBD4EQAQgADgEIAAgBEoEOgQ+BDIEPgQ0BDgEQgQ1BDsEIAA9BDAEIAAjBB4EXwAIAAAABQAAAAcAAAADAAAAAwAAAAYAAAAHAAAABwAAAAYAAAAGAAAABQAAAAcAAAAHAAAAAwAAAAcAAAADAAAABgAAAAcAAAAGAAAABwAAAAYAAAAHAAAABgAAAAcAAAAFAAAABgAAAAYAAAADAAAABwAAAAYAAAADAAAABgAAAAk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YAQAACgAAAHAAAAC0AAAAfAAAAAEAAAAAAMhBAADIQQoAAABwAAAAIgAAAEwAAAAEAAAACQAAAHAAAAC2AAAAfQAAAJAAAABTAGkAZwBuAGUAZAAgAGIAeQA6ACAASwBpAHIAaQBsACAAUgBvAHMAZQBuAG8AdgAgAEcAZQByAGEAdABsAGkAZQB2AAYAAAADAAAABwAAAAcAAAAGAAAABwAAAAMAAAAHAAAABQAAAAMAAAADAAAABgAAAAMAAAAEAAAAAwAAAAMAAAADAAAABwAAAAcAAAAFAAAABgAAAAcAAAAHAAAABQAAAAMAAAAIAAAABgAAAAQAAAAGAAAABAAAAAMAAAADAAAABgAAAAUAAAAWAAAADAAAAAAAAAAlAAAADAAAAAIAAAAOAAAAFAAAAAAAAAAQAAAAFAAAAA==</Object>
  <Object Id="idInvalidSigLnImg">AQAAAGwAAAAAAAAAAAAAAP8AAAB/AAAAAAAAAAAAAAAAGQAAgAwAACBFTUYAAAEA3B8AAL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GZ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PGZQAAAK/X8fz9/uLx+snk9uTy+vz9/v///////////////8vl9nKawAECAwAAAAAAotHvtdryxOL1xOL1tdry0+r32+350+r3tdryxOL1pdPvc5rAAQIDAAAAAABpj7ZnjrZqj7Zqj7ZnjrZtkbdukrdtkbdnjrZqj7ZojrZ3rdUCAwTGZ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2d4jtzwDyTTZ3uFoYAQkAAAAMTjZ3BAAAAEhrGAEAAAAAuFoYAbhaGAEyS/xyAAAAAAxI0nIJAAAAAAAAAAAAAAAAAAAAAAAAAPj3FwEAAAAAAAAAAAAAAAAAAAAAAAAAAAAAAAAAAAAAAAAAAAAAAAAAAAAAAAAAAAAAAAAAAAAAAAAAAAAAAABOEDl31OFCXuDuzwAoETJ3uFoYAQxI0nIAAAAAOBIyd///AAAAAAAAGxMydxsTMncQ788AAADPAAcAAAAAAAAAYYbudgkAAAAHAAAAQO/PAEDvzwAAAgAA/P///wEAAAAAAAAAAAAAAAAAAAAAAAAA4MQY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ZAoZF7SSzwCglM8AHvLMdscPgqSwCRkXLR8KAgAAAACIpIxyZTdhciCmJAHYkc8APJLPAEuFh3L/////KJLPAJ64Y3J6HGhy0rhjcvArYnICLGJyiw+CpIikjHLrD4KkUJLPAH+4Y3IwAesWAAAAAAAAU1N4ks8ACJTPADnxzHZYks8AAgAAAEXxzHbo54xy4P///wAAAAAAAAAAAAAAAJABAAAAAAABAAAAAGEAcgAAAAAAAAAAAGGG7nYAAAAABgAAAKyTzwCsk88AAAIAAPz///8B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AAAMhBAADIQQoAAABQAAAADwAAAEwAAAAAAAAAAAAAAAAAAAD//////////2wAAAAaBDgEQAQ4BDsEIAATBDUEQAQwBEIEOwQ4BDUEMgQAAAYAAAAHAAAABwAAAAcAAAAGAAAAAwAAAAUAAAAGAAAABwAAAAYAAAAF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oAAABsAAAAAQAAAAAAyEEAAMhBCgAAAGAAAAAhAAAATAAAAAAAAAAAAAAAAAAAAP//////////kAAAABgENwQ/BC4AIAA0BDgEQAQ1BDoEQgQ+BEAEIAA4BCAAIARKBDoEPgQyBD4ENAQ4BEIENQQ7BCAAPQQwBCAAIwQeBAAACAAAAAUAAAAHAAAAAwAAAAMAAAAGAAAABwAAAAcAAAAGAAAABgAAAAUAAAAHAAAABwAAAAMAAAAHAAAAAwAAAAYAAAAHAAAABgAAAAcAAAAGAAAABwAAAAYAAAAHAAAABQAAAAYAAAAGAAAAAwAAAAcAAAAGAAAAAwAAAAYAAAAJ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GAEAAAoAAABwAAAAtAAAAHwAAAABAAAAAADIQQAAyEEKAAAAcAAAACIAAABMAAAABAAAAAkAAABwAAAAtgAAAH0AAACQAAAAUwBpAGcAbgBlAGQAIABiAHkAOgAgAEsAaQByAGkAbAAgAFIAbwBzAGUAbgBvAHYAIABHAGUAcgBhAHQAbABpAGUAdgAGAAAAAwAAAAcAAAAHAAAABgAAAAcAAAADAAAABwAAAAUAAAADAAAAAwAAAAYAAAADAAAABAAAAAMAAAADAAAAAwAAAAcAAAAHAAAABQAAAAYAAAAHAAAABwAAAAUAAAADAAAACAAAAAYAAAAEAAAABgAAAAQAAAADAAAAAwAAAAY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6A05-CD19-45C9-983D-31818D0C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Mariya Stanevska</cp:lastModifiedBy>
  <cp:revision>3</cp:revision>
  <dcterms:created xsi:type="dcterms:W3CDTF">2021-02-09T07:27:00Z</dcterms:created>
  <dcterms:modified xsi:type="dcterms:W3CDTF">2021-02-09T09:10:00Z</dcterms:modified>
</cp:coreProperties>
</file>